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2941" w:rsidRDefault="00891B6B" w:rsidP="002436C1">
      <w:pPr>
        <w:pStyle w:val="TableFigureCaption"/>
      </w:pPr>
      <w:r>
        <w:rPr>
          <w:noProof/>
        </w:rPr>
        <w:drawing>
          <wp:anchor distT="0" distB="0" distL="114300" distR="114300" simplePos="0" relativeHeight="251672576" behindDoc="0" locked="0" layoutInCell="1" allowOverlap="1">
            <wp:simplePos x="0" y="0"/>
            <wp:positionH relativeFrom="column">
              <wp:posOffset>-145156</wp:posOffset>
            </wp:positionH>
            <wp:positionV relativeFrom="paragraph">
              <wp:posOffset>38636</wp:posOffset>
            </wp:positionV>
            <wp:extent cx="4269615" cy="695460"/>
            <wp:effectExtent l="19050" t="0" r="0" b="0"/>
            <wp:wrapNone/>
            <wp:docPr id="1"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8" cstate="print"/>
                    <a:srcRect t="21506"/>
                    <a:stretch>
                      <a:fillRect/>
                    </a:stretch>
                  </pic:blipFill>
                  <pic:spPr bwMode="auto">
                    <a:xfrm>
                      <a:off x="0" y="0"/>
                      <a:ext cx="4269615" cy="695460"/>
                    </a:xfrm>
                    <a:prstGeom prst="rect">
                      <a:avLst/>
                    </a:prstGeom>
                    <a:noFill/>
                    <a:ln w="9525">
                      <a:noFill/>
                      <a:miter lim="800000"/>
                      <a:headEnd/>
                      <a:tailEnd/>
                    </a:ln>
                  </pic:spPr>
                </pic:pic>
              </a:graphicData>
            </a:graphic>
          </wp:anchor>
        </w:drawing>
      </w:r>
    </w:p>
    <w:p w:rsidR="002A6B02" w:rsidRDefault="002A6B02"/>
    <w:p w:rsidR="002A6B02" w:rsidRDefault="002A6B02" w:rsidP="00AB380F">
      <w:pPr>
        <w:tabs>
          <w:tab w:val="left" w:pos="8550"/>
        </w:tabs>
      </w:pPr>
    </w:p>
    <w:p w:rsidR="002A6B02" w:rsidRDefault="002A6B02"/>
    <w:p w:rsidR="002A6B02" w:rsidRDefault="00690C32" w:rsidP="00AB380F">
      <w:r>
        <w:rPr>
          <w:noProof/>
        </w:rPr>
        <w:pict>
          <v:shapetype id="_x0000_t202" coordsize="21600,21600" o:spt="202" path="m,l,21600r21600,l21600,xe">
            <v:stroke joinstyle="miter"/>
            <v:path gradientshapeok="t" o:connecttype="rect"/>
          </v:shapetype>
          <v:shape id="Text Box 12" o:spid="_x0000_s1026" type="#_x0000_t202" style="position:absolute;margin-left:-.8pt;margin-top:24.9pt;width:434pt;height:6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" fillcolor="#433b67" stroked="f" strokecolor="white" strokeweight="0">
            <v:shadow color="#3f3151 [1607]" opacity=".5" offset="1pt"/>
            <v:textbox>
              <w:txbxContent>
                <w:p w:rsidR="00BB54F0" w:rsidRPr="00875B70" w:rsidRDefault="00BB54F0" w:rsidP="00F24446">
                  <w:pPr>
                    <w:pStyle w:val="TitleProposal"/>
                    <w:spacing w:before="200" w:after="200"/>
                    <w:rPr>
                      <w:rFonts w:ascii="Arial Black" w:hAnsi="Arial Black"/>
                      <w:color w:val="FFFFFF" w:themeColor="background1"/>
                    </w:rPr>
                  </w:pPr>
                  <w:r>
                    <w:rPr>
                      <w:rFonts w:ascii="Arial Black" w:hAnsi="Arial Black"/>
                      <w:color w:val="FFFFFF" w:themeColor="background1"/>
                    </w:rPr>
                    <w:t>2012 Load Impact Evaluation for the Proposed California Statewide Permanent Load Shifting Program</w:t>
                  </w:r>
                </w:p>
              </w:txbxContent>
            </v:textbox>
          </v:shape>
        </w:pict>
      </w:r>
    </w:p>
    <w:p w:rsidR="002A6B02" w:rsidRDefault="002A6B02"/>
    <w:p w:rsidR="002A6B02" w:rsidRDefault="002A6B02"/>
    <w:p w:rsidR="002A6B02" w:rsidRDefault="00B86C76">
      <w:r>
        <w:rPr>
          <w:noProof/>
        </w:rPr>
        <w:drawing>
          <wp:anchor distT="0" distB="0" distL="114300" distR="114300" simplePos="0" relativeHeight="251687936" behindDoc="1" locked="0" layoutInCell="1" allowOverlap="1">
            <wp:simplePos x="0" y="0"/>
            <wp:positionH relativeFrom="column">
              <wp:posOffset>2868501</wp:posOffset>
            </wp:positionH>
            <wp:positionV relativeFrom="paragraph">
              <wp:posOffset>221687</wp:posOffset>
            </wp:positionV>
            <wp:extent cx="2633998" cy="1674253"/>
            <wp:effectExtent l="19050" t="0" r="0"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t="27374"/>
                    <a:stretch>
                      <a:fillRect/>
                    </a:stretch>
                  </pic:blipFill>
                  <pic:spPr bwMode="auto">
                    <a:xfrm>
                      <a:off x="0" y="0"/>
                      <a:ext cx="2633998" cy="1674253"/>
                    </a:xfrm>
                    <a:prstGeom prst="rect">
                      <a:avLst/>
                    </a:prstGeom>
                    <a:noFill/>
                    <a:ln w="9525">
                      <a:noFill/>
                      <a:miter lim="800000"/>
                      <a:headEnd/>
                      <a:tailEnd/>
                    </a:ln>
                  </pic:spPr>
                </pic:pic>
              </a:graphicData>
            </a:graphic>
          </wp:anchor>
        </w:drawing>
      </w:r>
      <w:r w:rsidR="00690C32">
        <w:rPr>
          <w:noProof/>
        </w:rPr>
        <w:pict>
          <v:shapetype id="_x0000_t32" coordsize="21600,21600" o:spt="32" o:oned="t" path="m,l21600,21600e" filled="f">
            <v:path arrowok="t" fillok="f" o:connecttype="none"/>
            <o:lock v:ext="edit" shapetype="t"/>
          </v:shapetype>
          <v:shape id="AutoShape 26" o:spid="_x0000_s1034" type="#_x0000_t32" style="position:absolute;margin-left:-367.2pt;margin-top:14.9pt;width:55.1pt;height:2666.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" strokecolor="black [3213]" strokeweight="1pt">
            <v:shadow color="#3f3151 [1607]" opacity=".5" offset="1pt"/>
          </v:shape>
        </w:pict>
      </w:r>
    </w:p>
    <w:p w:rsidR="002A6B02" w:rsidRDefault="00690C32">
      <w:r>
        <w:rPr>
          <w:noProof/>
        </w:rPr>
        <w:pict>
          <v:shape id="Text Box 13" o:spid="_x0000_s1027" type="#_x0000_t202" style="position:absolute;margin-left:-.95pt;margin-top:12.45pt;width:226.2pt;height:66.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" stroked="f" strokecolor="#f2f2f2" strokeweight="3pt">
            <v:shadow color="#7f7f7f" opacity=".5" offset="1pt"/>
            <v:textbox>
              <w:txbxContent>
                <w:p w:rsidR="00BB54F0" w:rsidRPr="00334712" w:rsidRDefault="00BB54F0" w:rsidP="00AB380F">
                  <w:pPr>
                    <w:pStyle w:val="PreparedFor"/>
                    <w:spacing w:before="0" w:after="0"/>
                    <w:jc w:val="left"/>
                    <w:rPr>
                      <w:rFonts w:cs="Arial"/>
                      <w:sz w:val="24"/>
                      <w:szCs w:val="24"/>
                    </w:rPr>
                  </w:pPr>
                  <w:r w:rsidRPr="00334712">
                    <w:rPr>
                      <w:rFonts w:cs="Arial"/>
                      <w:sz w:val="24"/>
                      <w:szCs w:val="24"/>
                    </w:rPr>
                    <w:t>Prepared for:</w:t>
                  </w:r>
                </w:p>
                <w:p w:rsidR="00BB54F0" w:rsidRDefault="00BB54F0" w:rsidP="001C35AF">
                  <w:pPr>
                    <w:pStyle w:val="PreparedForCompany"/>
                    <w:jc w:val="left"/>
                    <w:rPr>
                      <w:rFonts w:ascii="TitilliumText22L Rg" w:hAnsi="TitilliumText22L Rg"/>
                      <w:sz w:val="24"/>
                    </w:rPr>
                  </w:pPr>
                  <w:r>
                    <w:rPr>
                      <w:rFonts w:ascii="TitilliumText22L Rg" w:hAnsi="TitilliumText22L Rg"/>
                      <w:sz w:val="24"/>
                    </w:rPr>
                    <w:t>Pacific Gas and Electric (PG&amp;E)</w:t>
                  </w:r>
                </w:p>
                <w:p w:rsidR="00BB54F0" w:rsidRDefault="00BB54F0" w:rsidP="001C35AF">
                  <w:pPr>
                    <w:pStyle w:val="PreparedForCompany"/>
                    <w:jc w:val="left"/>
                    <w:rPr>
                      <w:rFonts w:ascii="TitilliumText22L Rg" w:hAnsi="TitilliumText22L Rg"/>
                      <w:sz w:val="24"/>
                    </w:rPr>
                  </w:pPr>
                  <w:r>
                    <w:rPr>
                      <w:rFonts w:ascii="TitilliumText22L Rg" w:hAnsi="TitilliumText22L Rg"/>
                      <w:sz w:val="24"/>
                    </w:rPr>
                    <w:t>Southern California Edison (SCE)</w:t>
                  </w:r>
                </w:p>
                <w:p w:rsidR="00BB54F0" w:rsidRDefault="00BB54F0" w:rsidP="001C35AF">
                  <w:pPr>
                    <w:pStyle w:val="PreparedForCompany"/>
                    <w:jc w:val="left"/>
                    <w:rPr>
                      <w:rFonts w:ascii="TitilliumText22L Rg" w:hAnsi="TitilliumText22L Rg"/>
                      <w:sz w:val="24"/>
                    </w:rPr>
                  </w:pPr>
                  <w:r>
                    <w:rPr>
                      <w:rFonts w:ascii="TitilliumText22L Rg" w:hAnsi="TitilliumText22L Rg"/>
                      <w:sz w:val="24"/>
                    </w:rPr>
                    <w:t>San Diego Gas and Electric (SDG&amp;E)</w:t>
                  </w:r>
                </w:p>
                <w:p w:rsidR="00BB54F0" w:rsidRPr="00334712" w:rsidRDefault="00BB54F0" w:rsidP="001C35AF">
                  <w:pPr>
                    <w:pStyle w:val="PreparedForCompany"/>
                    <w:jc w:val="left"/>
                    <w:rPr>
                      <w:rFonts w:cs="Arial"/>
                      <w:sz w:val="24"/>
                    </w:rPr>
                  </w:pPr>
                </w:p>
              </w:txbxContent>
            </v:textbox>
          </v:shape>
        </w:pict>
      </w:r>
      <w:r w:rsidR="00910282">
        <w:t xml:space="preserve">CALMAC ID </w:t>
      </w:r>
      <w:r w:rsidR="00910282" w:rsidRPr="00CB691C">
        <w:rPr>
          <w:rFonts w:ascii="Calibri" w:hAnsi="Calibri"/>
          <w:color w:val="000000" w:themeColor="text1"/>
        </w:rPr>
        <w:t>PGE0321</w:t>
      </w:r>
    </w:p>
    <w:p w:rsidR="002A6B02" w:rsidRDefault="002A6B02"/>
    <w:p w:rsidR="002A6B02" w:rsidRDefault="002A6B02"/>
    <w:p w:rsidR="002A6B02" w:rsidRDefault="00690C32">
      <w:r>
        <w:rPr>
          <w:noProof/>
        </w:rPr>
        <w:pict>
          <v:shape id="Text Box 14" o:spid="_x0000_s1028" type="#_x0000_t202" style="position:absolute;margin-left:-.95pt;margin-top:22.5pt;width:208.2pt;height:3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" stroked="f" strokecolor="#f2f2f2" strokeweight="3pt">
            <v:shadow color="#622423 [1605]" opacity=".5" offset="1pt"/>
            <v:textbox>
              <w:txbxContent>
                <w:p w:rsidR="00BB54F0" w:rsidRPr="00334712" w:rsidRDefault="002A2748" w:rsidP="00AB380F">
                  <w:pPr>
                    <w:pStyle w:val="TitleProposal"/>
                    <w:rPr>
                      <w:b w:val="0"/>
                      <w:color w:val="auto"/>
                      <w:sz w:val="24"/>
                      <w:szCs w:val="24"/>
                    </w:rPr>
                  </w:pPr>
                  <w:r>
                    <w:rPr>
                      <w:b w:val="0"/>
                      <w:color w:val="auto"/>
                      <w:sz w:val="24"/>
                      <w:szCs w:val="24"/>
                    </w:rPr>
                    <w:t>April 1</w:t>
                  </w:r>
                  <w:r w:rsidR="00BB54F0" w:rsidRPr="00334712">
                    <w:rPr>
                      <w:b w:val="0"/>
                      <w:color w:val="auto"/>
                      <w:sz w:val="24"/>
                      <w:szCs w:val="24"/>
                    </w:rPr>
                    <w:t xml:space="preserve">, </w:t>
                  </w:r>
                  <w:r w:rsidR="00BB54F0">
                    <w:rPr>
                      <w:b w:val="0"/>
                      <w:color w:val="auto"/>
                      <w:sz w:val="24"/>
                      <w:szCs w:val="24"/>
                    </w:rPr>
                    <w:t>2013</w:t>
                  </w:r>
                </w:p>
              </w:txbxContent>
            </v:textbox>
          </v:shape>
        </w:pict>
      </w:r>
    </w:p>
    <w:p w:rsidR="002A6B02" w:rsidRDefault="002A6B02"/>
    <w:p w:rsidR="00CF7B44" w:rsidRDefault="00FD51F4">
      <w:r>
        <w:rPr>
          <w:noProof/>
        </w:rPr>
        <w:drawing>
          <wp:anchor distT="0" distB="0" distL="114300" distR="114300" simplePos="0" relativeHeight="251689984" behindDoc="1" locked="0" layoutInCell="1" allowOverlap="1">
            <wp:simplePos x="0" y="0"/>
            <wp:positionH relativeFrom="column">
              <wp:posOffset>2868295</wp:posOffset>
            </wp:positionH>
            <wp:positionV relativeFrom="paragraph">
              <wp:posOffset>-4445</wp:posOffset>
            </wp:positionV>
            <wp:extent cx="2633980" cy="172529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srcRect t="3425" b="4794"/>
                    <a:stretch>
                      <a:fillRect/>
                    </a:stretch>
                  </pic:blipFill>
                  <pic:spPr bwMode="auto">
                    <a:xfrm>
                      <a:off x="0" y="0"/>
                      <a:ext cx="2633980" cy="1725295"/>
                    </a:xfrm>
                    <a:prstGeom prst="rect">
                      <a:avLst/>
                    </a:prstGeom>
                    <a:noFill/>
                    <a:ln w="9525">
                      <a:noFill/>
                      <a:miter lim="800000"/>
                      <a:headEnd/>
                      <a:tailEnd/>
                    </a:ln>
                  </pic:spPr>
                </pic:pic>
              </a:graphicData>
            </a:graphic>
          </wp:anchor>
        </w:drawing>
      </w:r>
    </w:p>
    <w:p w:rsidR="002A6B02" w:rsidRDefault="00690C32">
      <w:r>
        <w:rPr>
          <w:noProof/>
        </w:rPr>
        <w:pict>
          <v:shape id="Text Box 15" o:spid="_x0000_s1029" type="#_x0000_t202" style="position:absolute;margin-left:-.8pt;margin-top:6.35pt;width:206.9pt;height:10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" stroked="f" strokecolor="#f2f2f2" strokeweight="3pt">
            <v:shadow color="#243f60 [1604]" opacity=".5" offset="1pt"/>
            <v:textbox>
              <w:txbxContent>
                <w:p w:rsidR="00BB54F0" w:rsidRDefault="00BB54F0" w:rsidP="00AB380F">
                  <w:pPr>
                    <w:pStyle w:val="PreparedForCompany"/>
                    <w:jc w:val="left"/>
                    <w:rPr>
                      <w:rFonts w:cs="Arial"/>
                      <w:i/>
                      <w:sz w:val="24"/>
                    </w:rPr>
                  </w:pPr>
                  <w:r w:rsidRPr="00334712">
                    <w:rPr>
                      <w:rFonts w:cs="Arial"/>
                      <w:i/>
                      <w:sz w:val="24"/>
                    </w:rPr>
                    <w:t>Prepared by:</w:t>
                  </w:r>
                </w:p>
                <w:p w:rsidR="00BB54F0" w:rsidRPr="00E45E4E" w:rsidRDefault="00BB54F0" w:rsidP="00AB380F">
                  <w:pPr>
                    <w:pStyle w:val="PreparedForCompany"/>
                    <w:jc w:val="left"/>
                    <w:rPr>
                      <w:rFonts w:cs="Arial"/>
                      <w:sz w:val="24"/>
                    </w:rPr>
                  </w:pPr>
                  <w:r>
                    <w:rPr>
                      <w:rFonts w:cs="Arial"/>
                      <w:sz w:val="24"/>
                    </w:rPr>
                    <w:t>Michael Perry</w:t>
                  </w:r>
                </w:p>
                <w:p w:rsidR="00BB54F0" w:rsidRDefault="00BB54F0" w:rsidP="00AB380F">
                  <w:pPr>
                    <w:pStyle w:val="PreparedForCompany"/>
                    <w:jc w:val="left"/>
                    <w:rPr>
                      <w:rFonts w:cs="Arial"/>
                      <w:sz w:val="24"/>
                    </w:rPr>
                  </w:pPr>
                  <w:r>
                    <w:rPr>
                      <w:rFonts w:cs="Arial"/>
                      <w:sz w:val="24"/>
                    </w:rPr>
                    <w:t>Sarah Woehleke</w:t>
                  </w:r>
                </w:p>
                <w:p w:rsidR="00BB54F0" w:rsidRPr="00334712" w:rsidRDefault="00BB54F0" w:rsidP="00AB380F">
                  <w:pPr>
                    <w:pStyle w:val="PreparedForCompany"/>
                    <w:jc w:val="left"/>
                    <w:rPr>
                      <w:rFonts w:cs="Arial"/>
                      <w:sz w:val="24"/>
                    </w:rPr>
                  </w:pPr>
                </w:p>
              </w:txbxContent>
            </v:textbox>
          </v:shape>
        </w:pict>
      </w:r>
    </w:p>
    <w:p w:rsidR="0084569F" w:rsidRDefault="0084569F" w:rsidP="00305437">
      <w:pPr>
        <w:pStyle w:val="PreparedFor"/>
      </w:pPr>
    </w:p>
    <w:p w:rsidR="0084569F" w:rsidRDefault="0084569F" w:rsidP="00305437">
      <w:pPr>
        <w:pStyle w:val="PreparedFor"/>
      </w:pPr>
    </w:p>
    <w:p w:rsidR="002A6B02" w:rsidRDefault="002A6B02" w:rsidP="00305437">
      <w:pPr>
        <w:pStyle w:val="PreparedForCompany"/>
      </w:pPr>
    </w:p>
    <w:p w:rsidR="00AB380F" w:rsidRPr="00ED253C" w:rsidRDefault="00891B6B" w:rsidP="00AB380F">
      <w:pPr>
        <w:pStyle w:val="PreparedForCompany"/>
        <w:jc w:val="left"/>
      </w:pPr>
      <w:r>
        <w:rPr>
          <w:noProof/>
          <w:szCs w:val="22"/>
        </w:rPr>
        <w:drawing>
          <wp:anchor distT="0" distB="0" distL="114300" distR="114300" simplePos="0" relativeHeight="251688960" behindDoc="1" locked="0" layoutInCell="1" allowOverlap="1">
            <wp:simplePos x="0" y="0"/>
            <wp:positionH relativeFrom="column">
              <wp:posOffset>2868501</wp:posOffset>
            </wp:positionH>
            <wp:positionV relativeFrom="paragraph">
              <wp:posOffset>147427</wp:posOffset>
            </wp:positionV>
            <wp:extent cx="2633998" cy="1674254"/>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srcRect b="2958"/>
                    <a:stretch>
                      <a:fillRect/>
                    </a:stretch>
                  </pic:blipFill>
                  <pic:spPr bwMode="auto">
                    <a:xfrm>
                      <a:off x="0" y="0"/>
                      <a:ext cx="2633998" cy="1674254"/>
                    </a:xfrm>
                    <a:prstGeom prst="rect">
                      <a:avLst/>
                    </a:prstGeom>
                    <a:noFill/>
                    <a:ln w="9525">
                      <a:noFill/>
                      <a:miter lim="800000"/>
                      <a:headEnd/>
                      <a:tailEnd/>
                    </a:ln>
                  </pic:spPr>
                </pic:pic>
              </a:graphicData>
            </a:graphic>
          </wp:anchor>
        </w:drawing>
      </w:r>
    </w:p>
    <w:p w:rsidR="002A6B02" w:rsidRDefault="00690C32" w:rsidP="00AB380F">
      <w:pPr>
        <w:spacing w:before="240"/>
        <w:ind w:left="-990"/>
        <w:rPr>
          <w:b/>
          <w:color w:val="433B67"/>
          <w:sz w:val="28"/>
          <w:szCs w:val="28"/>
        </w:rPr>
        <w:sectPr w:rsidR="002A6B02" w:rsidSect="00A40B9A">
          <w:headerReference w:type="even" r:id="rId12"/>
          <w:headerReference w:type="default" r:id="rId13"/>
          <w:footerReference w:type="even" r:id="rId14"/>
          <w:footerReference w:type="default" r:id="rId15"/>
          <w:footerReference w:type="first" r:id="rId16"/>
          <w:pgSz w:w="12240" w:h="15840"/>
          <w:pgMar w:top="1440" w:right="1800" w:bottom="1440" w:left="1800" w:header="720" w:footer="720" w:gutter="0"/>
          <w:pgNumType w:fmt="lowerRoman" w:start="1"/>
          <w:cols w:space="720"/>
          <w:titlePg/>
          <w:docGrid w:linePitch="360"/>
        </w:sectPr>
      </w:pPr>
      <w:r w:rsidRPr="00690C32">
        <w:rPr>
          <w:noProof/>
        </w:rPr>
        <w:pict>
          <v:shape id="Text Box 16" o:spid="_x0000_s1030" type="#_x0000_t202" style="position:absolute;left:0;text-align:left;margin-left:-.95pt;margin-top:4.4pt;width:207.05pt;height:6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" stroked="f" strokecolor="#f2f2f2" strokeweight="3pt">
            <v:shadow color="#4e6128 [1606]" opacity=".5" offset="1pt"/>
            <v:textbox>
              <w:txbxContent>
                <w:p w:rsidR="00BB54F0" w:rsidRPr="00334712" w:rsidRDefault="00BB54F0" w:rsidP="00D04A27">
                  <w:pPr>
                    <w:pStyle w:val="TitleAddress"/>
                    <w:tabs>
                      <w:tab w:val="clear" w:pos="3960"/>
                    </w:tabs>
                    <w:rPr>
                      <w:b w:val="0"/>
                      <w:color w:val="auto"/>
                      <w:sz w:val="24"/>
                      <w:szCs w:val="24"/>
                    </w:rPr>
                  </w:pPr>
                  <w:r w:rsidRPr="00334712">
                    <w:rPr>
                      <w:b w:val="0"/>
                      <w:color w:val="auto"/>
                      <w:sz w:val="24"/>
                      <w:szCs w:val="24"/>
                    </w:rPr>
                    <w:t>Freeman, Sullivan &amp; Co</w:t>
                  </w:r>
                  <w:proofErr w:type="gramStart"/>
                  <w:r w:rsidRPr="00334712">
                    <w:rPr>
                      <w:b w:val="0"/>
                      <w:color w:val="auto"/>
                      <w:sz w:val="24"/>
                      <w:szCs w:val="24"/>
                    </w:rPr>
                    <w:t>.</w:t>
                  </w:r>
                  <w:proofErr w:type="gramEnd"/>
                  <w:r w:rsidRPr="00334712">
                    <w:rPr>
                      <w:b w:val="0"/>
                      <w:color w:val="auto"/>
                      <w:sz w:val="24"/>
                      <w:szCs w:val="24"/>
                    </w:rPr>
                    <w:br/>
                    <w:t>101 Montgomery St., 15th Fl</w:t>
                  </w:r>
                  <w:r w:rsidRPr="00334712">
                    <w:rPr>
                      <w:b w:val="0"/>
                      <w:color w:val="auto"/>
                      <w:sz w:val="24"/>
                      <w:szCs w:val="24"/>
                    </w:rPr>
                    <w:br/>
                    <w:t>San Francisco, CA  94104</w:t>
                  </w:r>
                  <w:r w:rsidRPr="00334712">
                    <w:rPr>
                      <w:b w:val="0"/>
                      <w:color w:val="auto"/>
                      <w:sz w:val="24"/>
                      <w:szCs w:val="24"/>
                    </w:rPr>
                    <w:br/>
                    <w:t>fscgroup.com</w:t>
                  </w:r>
                </w:p>
                <w:p w:rsidR="00BB54F0" w:rsidRPr="000D67D1" w:rsidRDefault="00BB54F0" w:rsidP="00AB380F">
                  <w:pPr>
                    <w:pStyle w:val="TitleAddress"/>
                  </w:pPr>
                  <w:r w:rsidRPr="000D67D1">
                    <w:tab/>
                  </w:r>
                </w:p>
              </w:txbxContent>
            </v:textbox>
          </v:shape>
        </w:pict>
      </w:r>
      <w:r>
        <w:rPr>
          <w:b/>
          <w:noProof/>
          <w:color w:val="433B67"/>
          <w:sz w:val="28"/>
          <w:szCs w:val="28"/>
        </w:rPr>
        <w:pict>
          <v:shape id="AutoShape 30" o:spid="_x0000_s1033" type="#_x0000_t32" style="position:absolute;left:0;text-align:left;margin-left:-95.4pt;margin-top:183.3pt;width:644.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" strokecolor="black [3213]" strokeweight="1pt"/>
        </w:pict>
      </w:r>
      <w:r>
        <w:rPr>
          <w:b/>
          <w:noProof/>
          <w:color w:val="433B67"/>
          <w:sz w:val="28"/>
          <w:szCs w:val="28"/>
        </w:rPr>
        <w:pict>
          <v:shape id="AutoShape 29" o:spid="_x0000_s1032" type="#_x0000_t32" style="position:absolute;left:0;text-align:left;margin-left:-107.4pt;margin-top:182.1pt;width:644.25pt;height:.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" strokecolor="#433b67" strokeweight="2pt"/>
        </w:pict>
      </w:r>
      <w:r>
        <w:rPr>
          <w:b/>
          <w:noProof/>
          <w:color w:val="433B67"/>
          <w:sz w:val="28"/>
          <w:szCs w:val="28"/>
        </w:rPr>
        <w:pict>
          <v:shape id="Text Box 28" o:spid="_x0000_s1031" type="#_x0000_t202" style="position:absolute;left:0;text-align:left;margin-left:-7.1pt;margin-top:159.6pt;width:144.4pt;height:2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NtXugIAAME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" filled="f" stroked="f">
            <v:textbox>
              <w:txbxContent>
                <w:p w:rsidR="00BB54F0" w:rsidRPr="003A4BA1" w:rsidRDefault="00BB54F0" w:rsidP="00CA7949">
                  <w:pPr>
                    <w:pStyle w:val="TitleProposal"/>
                    <w:rPr>
                      <w:rFonts w:ascii="Arial Black" w:hAnsi="Arial Black"/>
                      <w:color w:val="auto"/>
                    </w:rPr>
                  </w:pPr>
                  <w:r w:rsidRPr="003A4BA1">
                    <w:rPr>
                      <w:rFonts w:ascii="Arial Black" w:hAnsi="Arial Black"/>
                      <w:color w:val="auto"/>
                    </w:rPr>
                    <w:t>The FSC Group</w:t>
                  </w:r>
                </w:p>
                <w:p w:rsidR="00BB54F0" w:rsidRPr="000D67D1" w:rsidRDefault="00BB54F0" w:rsidP="00CA7949">
                  <w:pPr>
                    <w:pStyle w:val="TitleProposal"/>
                  </w:pPr>
                </w:p>
              </w:txbxContent>
            </v:textbox>
          </v:shape>
        </w:pict>
      </w:r>
    </w:p>
    <w:sdt>
      <w:sdtPr>
        <w:rPr>
          <w:rFonts w:asciiTheme="minorHAnsi" w:eastAsiaTheme="minorHAnsi" w:hAnsiTheme="minorHAnsi" w:cstheme="minorBidi"/>
          <w:b w:val="0"/>
          <w:color w:val="auto"/>
          <w:sz w:val="22"/>
          <w:szCs w:val="22"/>
        </w:rPr>
        <w:id w:val="1780305"/>
        <w:docPartObj>
          <w:docPartGallery w:val="Table of Contents"/>
          <w:docPartUnique/>
        </w:docPartObj>
      </w:sdtPr>
      <w:sdtEndPr>
        <w:rPr>
          <w:rFonts w:eastAsiaTheme="minorEastAsia"/>
        </w:rPr>
      </w:sdtEndPr>
      <w:sdtContent>
        <w:p w:rsidR="001A71A9" w:rsidRDefault="001A71A9" w:rsidP="00DB35F9">
          <w:pPr>
            <w:pStyle w:val="TableofContents"/>
            <w:ind w:left="0"/>
          </w:pPr>
          <w:r w:rsidRPr="003A4BA1">
            <w:rPr>
              <w:rFonts w:ascii="Arial Black" w:hAnsi="Arial Black"/>
            </w:rPr>
            <w:t>Table of Contents</w:t>
          </w:r>
        </w:p>
        <w:p w:rsidR="00CB691C" w:rsidRDefault="00690C32">
          <w:pPr>
            <w:pStyle w:val="TOC1"/>
            <w:rPr>
              <w:rFonts w:asciiTheme="minorHAnsi" w:hAnsiTheme="minorHAnsi" w:cstheme="minorBidi"/>
              <w:sz w:val="22"/>
              <w:szCs w:val="22"/>
            </w:rPr>
          </w:pPr>
          <w:r w:rsidRPr="00690C32">
            <w:fldChar w:fldCharType="begin"/>
          </w:r>
          <w:r w:rsidR="006717E3">
            <w:instrText xml:space="preserve"> TOC \o "1-3" \h \z \t "Appendix Heading 1,2,Appendix Heading 2,3,Appendix Heading 3,4" </w:instrText>
          </w:r>
          <w:r w:rsidRPr="00690C32">
            <w:fldChar w:fldCharType="separate"/>
          </w:r>
          <w:hyperlink w:anchor="_Toc352168936" w:history="1">
            <w:r w:rsidR="00CB691C" w:rsidRPr="00F20D15">
              <w:rPr>
                <w:rStyle w:val="Hyperlink"/>
              </w:rPr>
              <w:t>1</w:t>
            </w:r>
            <w:r w:rsidR="00CB691C">
              <w:rPr>
                <w:rFonts w:asciiTheme="minorHAnsi" w:hAnsiTheme="minorHAnsi" w:cstheme="minorBidi"/>
                <w:sz w:val="22"/>
                <w:szCs w:val="22"/>
              </w:rPr>
              <w:tab/>
            </w:r>
            <w:r w:rsidR="00CB691C" w:rsidRPr="00F20D15">
              <w:rPr>
                <w:rStyle w:val="Hyperlink"/>
              </w:rPr>
              <w:t>Introduction and Program Overview</w:t>
            </w:r>
            <w:r w:rsidR="00CB691C">
              <w:rPr>
                <w:webHidden/>
              </w:rPr>
              <w:tab/>
            </w:r>
            <w:r w:rsidR="00CB691C">
              <w:rPr>
                <w:webHidden/>
              </w:rPr>
              <w:fldChar w:fldCharType="begin"/>
            </w:r>
            <w:r w:rsidR="00CB691C">
              <w:rPr>
                <w:webHidden/>
              </w:rPr>
              <w:instrText xml:space="preserve"> PAGEREF _Toc352168936 \h </w:instrText>
            </w:r>
            <w:r w:rsidR="00CB691C">
              <w:rPr>
                <w:webHidden/>
              </w:rPr>
            </w:r>
            <w:r w:rsidR="00CB691C">
              <w:rPr>
                <w:webHidden/>
              </w:rPr>
              <w:fldChar w:fldCharType="separate"/>
            </w:r>
            <w:r w:rsidR="00CB691C">
              <w:rPr>
                <w:webHidden/>
              </w:rPr>
              <w:t>1</w:t>
            </w:r>
            <w:r w:rsidR="00CB691C">
              <w:rPr>
                <w:webHidden/>
              </w:rPr>
              <w:fldChar w:fldCharType="end"/>
            </w:r>
          </w:hyperlink>
        </w:p>
        <w:p w:rsidR="00CB691C" w:rsidRDefault="00CB691C">
          <w:pPr>
            <w:pStyle w:val="TOC2"/>
            <w:rPr>
              <w:rFonts w:asciiTheme="minorHAnsi" w:hAnsiTheme="minorHAnsi" w:cstheme="minorBidi"/>
              <w:sz w:val="22"/>
              <w:szCs w:val="22"/>
            </w:rPr>
          </w:pPr>
          <w:hyperlink w:anchor="_Toc352168937" w:history="1">
            <w:r w:rsidRPr="00F20D15">
              <w:rPr>
                <w:rStyle w:val="Hyperlink"/>
              </w:rPr>
              <w:t>1.1</w:t>
            </w:r>
            <w:r>
              <w:rPr>
                <w:rFonts w:asciiTheme="minorHAnsi" w:hAnsiTheme="minorHAnsi" w:cstheme="minorBidi"/>
                <w:sz w:val="22"/>
                <w:szCs w:val="22"/>
              </w:rPr>
              <w:tab/>
            </w:r>
            <w:r w:rsidRPr="00F20D15">
              <w:rPr>
                <w:rStyle w:val="Hyperlink"/>
              </w:rPr>
              <w:t>Program Overview</w:t>
            </w:r>
            <w:r>
              <w:rPr>
                <w:webHidden/>
              </w:rPr>
              <w:tab/>
            </w:r>
            <w:r>
              <w:rPr>
                <w:webHidden/>
              </w:rPr>
              <w:fldChar w:fldCharType="begin"/>
            </w:r>
            <w:r>
              <w:rPr>
                <w:webHidden/>
              </w:rPr>
              <w:instrText xml:space="preserve"> PAGEREF _Toc352168937 \h </w:instrText>
            </w:r>
            <w:r>
              <w:rPr>
                <w:webHidden/>
              </w:rPr>
            </w:r>
            <w:r>
              <w:rPr>
                <w:webHidden/>
              </w:rPr>
              <w:fldChar w:fldCharType="separate"/>
            </w:r>
            <w:r>
              <w:rPr>
                <w:webHidden/>
              </w:rPr>
              <w:t>2</w:t>
            </w:r>
            <w:r>
              <w:rPr>
                <w:webHidden/>
              </w:rPr>
              <w:fldChar w:fldCharType="end"/>
            </w:r>
          </w:hyperlink>
        </w:p>
        <w:p w:rsidR="00CB691C" w:rsidRDefault="00CB691C">
          <w:pPr>
            <w:pStyle w:val="TOC1"/>
            <w:rPr>
              <w:rFonts w:asciiTheme="minorHAnsi" w:hAnsiTheme="minorHAnsi" w:cstheme="minorBidi"/>
              <w:sz w:val="22"/>
              <w:szCs w:val="22"/>
            </w:rPr>
          </w:pPr>
          <w:hyperlink w:anchor="_Toc352168938" w:history="1">
            <w:r w:rsidRPr="00F20D15">
              <w:rPr>
                <w:rStyle w:val="Hyperlink"/>
              </w:rPr>
              <w:t>2</w:t>
            </w:r>
            <w:r>
              <w:rPr>
                <w:rFonts w:asciiTheme="minorHAnsi" w:hAnsiTheme="minorHAnsi" w:cstheme="minorBidi"/>
                <w:sz w:val="22"/>
                <w:szCs w:val="22"/>
              </w:rPr>
              <w:tab/>
            </w:r>
            <w:r w:rsidRPr="00F20D15">
              <w:rPr>
                <w:rStyle w:val="Hyperlink"/>
              </w:rPr>
              <w:t>Assumptions and Methods</w:t>
            </w:r>
            <w:r>
              <w:rPr>
                <w:webHidden/>
              </w:rPr>
              <w:tab/>
            </w:r>
            <w:r>
              <w:rPr>
                <w:webHidden/>
              </w:rPr>
              <w:fldChar w:fldCharType="begin"/>
            </w:r>
            <w:r>
              <w:rPr>
                <w:webHidden/>
              </w:rPr>
              <w:instrText xml:space="preserve"> PAGEREF _Toc352168938 \h </w:instrText>
            </w:r>
            <w:r>
              <w:rPr>
                <w:webHidden/>
              </w:rPr>
            </w:r>
            <w:r>
              <w:rPr>
                <w:webHidden/>
              </w:rPr>
              <w:fldChar w:fldCharType="separate"/>
            </w:r>
            <w:r>
              <w:rPr>
                <w:webHidden/>
              </w:rPr>
              <w:t>4</w:t>
            </w:r>
            <w:r>
              <w:rPr>
                <w:webHidden/>
              </w:rPr>
              <w:fldChar w:fldCharType="end"/>
            </w:r>
          </w:hyperlink>
        </w:p>
        <w:p w:rsidR="00CB691C" w:rsidRDefault="00CB691C">
          <w:pPr>
            <w:pStyle w:val="TOC1"/>
            <w:rPr>
              <w:rFonts w:asciiTheme="minorHAnsi" w:hAnsiTheme="minorHAnsi" w:cstheme="minorBidi"/>
              <w:sz w:val="22"/>
              <w:szCs w:val="22"/>
            </w:rPr>
          </w:pPr>
          <w:hyperlink w:anchor="_Toc352168939" w:history="1">
            <w:r w:rsidRPr="00F20D15">
              <w:rPr>
                <w:rStyle w:val="Hyperlink"/>
              </w:rPr>
              <w:t>3</w:t>
            </w:r>
            <w:r>
              <w:rPr>
                <w:rFonts w:asciiTheme="minorHAnsi" w:hAnsiTheme="minorHAnsi" w:cstheme="minorBidi"/>
                <w:sz w:val="22"/>
                <w:szCs w:val="22"/>
              </w:rPr>
              <w:tab/>
            </w:r>
            <w:r w:rsidRPr="00F20D15">
              <w:rPr>
                <w:rStyle w:val="Hyperlink"/>
              </w:rPr>
              <w:t>Ex Ante Impact Estimates</w:t>
            </w:r>
            <w:r>
              <w:rPr>
                <w:webHidden/>
              </w:rPr>
              <w:tab/>
            </w:r>
            <w:r>
              <w:rPr>
                <w:webHidden/>
              </w:rPr>
              <w:fldChar w:fldCharType="begin"/>
            </w:r>
            <w:r>
              <w:rPr>
                <w:webHidden/>
              </w:rPr>
              <w:instrText xml:space="preserve"> PAGEREF _Toc352168939 \h </w:instrText>
            </w:r>
            <w:r>
              <w:rPr>
                <w:webHidden/>
              </w:rPr>
            </w:r>
            <w:r>
              <w:rPr>
                <w:webHidden/>
              </w:rPr>
              <w:fldChar w:fldCharType="separate"/>
            </w:r>
            <w:r>
              <w:rPr>
                <w:webHidden/>
              </w:rPr>
              <w:t>12</w:t>
            </w:r>
            <w:r>
              <w:rPr>
                <w:webHidden/>
              </w:rPr>
              <w:fldChar w:fldCharType="end"/>
            </w:r>
          </w:hyperlink>
        </w:p>
        <w:p w:rsidR="001A71A9" w:rsidRDefault="00690C32">
          <w:r>
            <w:rPr>
              <w:rFonts w:ascii="Arial" w:hAnsi="Arial" w:cs="Arial"/>
              <w:noProof/>
              <w:sz w:val="24"/>
              <w:szCs w:val="24"/>
            </w:rPr>
            <w:fldChar w:fldCharType="end"/>
          </w:r>
        </w:p>
      </w:sdtContent>
    </w:sdt>
    <w:p w:rsidR="00DB35F9" w:rsidRPr="00ED253C" w:rsidRDefault="00DB35F9" w:rsidP="00305437">
      <w:pPr>
        <w:pStyle w:val="PreparedForCompany"/>
      </w:pPr>
      <w:bookmarkStart w:id="0" w:name="_Toc268073344"/>
    </w:p>
    <w:p w:rsidR="00DB35F9" w:rsidRDefault="00DB35F9" w:rsidP="00DB35F9">
      <w:pPr>
        <w:spacing w:before="240"/>
        <w:rPr>
          <w:b/>
          <w:color w:val="433B67"/>
          <w:sz w:val="28"/>
          <w:szCs w:val="28"/>
        </w:rPr>
        <w:sectPr w:rsidR="00DB35F9" w:rsidSect="00B50663">
          <w:headerReference w:type="default" r:id="rId17"/>
          <w:footerReference w:type="default" r:id="rId18"/>
          <w:headerReference w:type="first" r:id="rId19"/>
          <w:footerReference w:type="first" r:id="rId20"/>
          <w:pgSz w:w="12240" w:h="15840"/>
          <w:pgMar w:top="1440" w:right="1800" w:bottom="1440" w:left="1800" w:header="720" w:footer="720" w:gutter="0"/>
          <w:pgNumType w:fmt="lowerRoman" w:start="1"/>
          <w:cols w:space="720"/>
          <w:docGrid w:linePitch="360"/>
        </w:sectPr>
      </w:pPr>
    </w:p>
    <w:p w:rsidR="00752687" w:rsidRDefault="00E51799" w:rsidP="00D56C2A">
      <w:pPr>
        <w:pStyle w:val="Heading1"/>
      </w:pPr>
      <w:bookmarkStart w:id="1" w:name="_Toc352168936"/>
      <w:bookmarkEnd w:id="0"/>
      <w:r>
        <w:lastRenderedPageBreak/>
        <w:t>Introduction and Program Overview</w:t>
      </w:r>
      <w:bookmarkEnd w:id="1"/>
    </w:p>
    <w:p w:rsidR="00DE351B" w:rsidRDefault="00F129F5" w:rsidP="00F129F5">
      <w:pPr>
        <w:pStyle w:val="BodyParagraph"/>
      </w:pPr>
      <w:r w:rsidRPr="0093579B">
        <w:t xml:space="preserve">This evaluation documents the </w:t>
      </w:r>
      <w:r>
        <w:t>ex ante</w:t>
      </w:r>
      <w:r w:rsidRPr="0093579B">
        <w:t xml:space="preserve"> load impact analysis and results for</w:t>
      </w:r>
      <w:r>
        <w:t xml:space="preserve"> the </w:t>
      </w:r>
      <w:r w:rsidR="00B73C90">
        <w:t xml:space="preserve">proposed </w:t>
      </w:r>
      <w:r>
        <w:t xml:space="preserve">California Statewide Permanent Load Shifting (PLS) Program at Pacific Gas &amp; Electric (PG&amp;E), Southern California Edison (SCE) and San Diego Gas &amp; Electric (SDG&amp;E).  </w:t>
      </w:r>
      <w:r w:rsidR="00B73C90" w:rsidRPr="00B73C90">
        <w:rPr>
          <w:bCs/>
        </w:rPr>
        <w:t xml:space="preserve">The program is currently in the final stages of development and approval by the CPUC.  </w:t>
      </w:r>
      <w:r>
        <w:t>The program—which does not fall neatly into either the category of demand response or energy efficiency—uses thermal storage technology to allow commercial, industrial</w:t>
      </w:r>
      <w:r w:rsidR="0061169A">
        <w:t>, agricultural</w:t>
      </w:r>
      <w:r>
        <w:t xml:space="preserve"> or residential buildings to shift cooling load from peak times to overnight.</w:t>
      </w:r>
      <w:r w:rsidR="0061169A">
        <w:rPr>
          <w:rStyle w:val="FootnoteReference"/>
        </w:rPr>
        <w:footnoteReference w:id="1"/>
      </w:r>
      <w:r>
        <w:t xml:space="preserve">  </w:t>
      </w:r>
      <w:r w:rsidR="00FB4A3C">
        <w:t xml:space="preserve">If designed properly, </w:t>
      </w:r>
      <w:r w:rsidR="00DE351B">
        <w:t>PLS can promote system stability, reduce stress on transmission and distribution systems and</w:t>
      </w:r>
      <w:r w:rsidR="00FB4A3C">
        <w:t>/or</w:t>
      </w:r>
      <w:r w:rsidR="00DE351B">
        <w:t xml:space="preserve"> reduce overall energy</w:t>
      </w:r>
      <w:r w:rsidR="00BA6A26">
        <w:t xml:space="preserve"> capacity</w:t>
      </w:r>
      <w:r w:rsidR="00DE351B">
        <w:t xml:space="preserve"> costs by </w:t>
      </w:r>
      <w:r w:rsidR="003A67D1">
        <w:t>substituting</w:t>
      </w:r>
      <w:r w:rsidR="00DE351B">
        <w:t xml:space="preserve"> </w:t>
      </w:r>
      <w:r w:rsidR="003A67D1">
        <w:t>low-cost overnight load for high-cost peak time load.</w:t>
      </w:r>
      <w:r w:rsidR="00DE351B">
        <w:t xml:space="preserve">  </w:t>
      </w:r>
    </w:p>
    <w:p w:rsidR="00FB4A3C" w:rsidRDefault="00DE351B" w:rsidP="00917143">
      <w:pPr>
        <w:pStyle w:val="BodyParagraph"/>
      </w:pPr>
      <w:r>
        <w:t xml:space="preserve">Prior to this statewide program, each of the three IOUs conducted PLS programs similar to the currently proposed program but with different incentive levels and technologies.  These programs arose out of CPUC </w:t>
      </w:r>
      <w:r w:rsidRPr="0050200E">
        <w:t>Decision (D.) 06-11-049, Order Adopting Changes to 2007 Utility Demand Response Programs</w:t>
      </w:r>
      <w:r>
        <w:t xml:space="preserve">, which was </w:t>
      </w:r>
      <w:r w:rsidRPr="0050200E">
        <w:t xml:space="preserve">part of the 2006-2008 Demand Response Application (A.) 05-06-006, </w:t>
      </w:r>
      <w:proofErr w:type="gramStart"/>
      <w:r w:rsidRPr="0050200E">
        <w:t>et</w:t>
      </w:r>
      <w:proofErr w:type="gramEnd"/>
      <w:r w:rsidRPr="0050200E">
        <w:t xml:space="preserve">. </w:t>
      </w:r>
      <w:proofErr w:type="gramStart"/>
      <w:r w:rsidRPr="0050200E">
        <w:t>al</w:t>
      </w:r>
      <w:proofErr w:type="gramEnd"/>
      <w:r w:rsidRPr="0050200E">
        <w:t xml:space="preserve">. </w:t>
      </w:r>
      <w:r>
        <w:t xml:space="preserve"> </w:t>
      </w:r>
      <w:r w:rsidRPr="0050200E">
        <w:t xml:space="preserve">This Decision, among other things, ordered the </w:t>
      </w:r>
      <w:r>
        <w:t>IOUs</w:t>
      </w:r>
      <w:r w:rsidRPr="0050200E">
        <w:t xml:space="preserve"> to pursue Requests for Proposals and bilateral arrangements for PLS to promote system reliability during the summer peak demand periods. A four-year PLS </w:t>
      </w:r>
      <w:r w:rsidR="00A23B9E">
        <w:t>program</w:t>
      </w:r>
      <w:r w:rsidR="00A23B9E" w:rsidRPr="0050200E">
        <w:t xml:space="preserve"> </w:t>
      </w:r>
      <w:r w:rsidRPr="0050200E">
        <w:t xml:space="preserve">was approved for all the </w:t>
      </w:r>
      <w:r>
        <w:t>IOUs</w:t>
      </w:r>
      <w:r w:rsidRPr="0050200E">
        <w:t xml:space="preserve"> from 2008-2011.</w:t>
      </w:r>
      <w:r w:rsidR="00FB4A3C">
        <w:t xml:space="preserve">  We do not revisit the details of </w:t>
      </w:r>
      <w:r w:rsidR="00A23B9E">
        <w:t xml:space="preserve">those </w:t>
      </w:r>
      <w:r w:rsidR="00FB4A3C">
        <w:t>programs here; we just note that each IOU has recent experience with PLS programs and technologies, although the proposed program design is new and stems from a different Decision.</w:t>
      </w:r>
    </w:p>
    <w:p w:rsidR="00DE351B" w:rsidRPr="0050200E" w:rsidRDefault="00DE351B" w:rsidP="00917143">
      <w:pPr>
        <w:pStyle w:val="BodyParagraph"/>
      </w:pPr>
      <w:r w:rsidRPr="0050200E">
        <w:t xml:space="preserve"> </w:t>
      </w:r>
      <w:r w:rsidR="00917143" w:rsidRPr="00917143">
        <w:t>In Novemb</w:t>
      </w:r>
      <w:r w:rsidR="00917143">
        <w:t xml:space="preserve">er 2010, a Statewide PLS Study, </w:t>
      </w:r>
      <w:r w:rsidR="00917143" w:rsidRPr="00917143">
        <w:t>authored by Energy + Environmental Economi</w:t>
      </w:r>
      <w:r w:rsidR="00917143">
        <w:t xml:space="preserve">cs (E3) and </w:t>
      </w:r>
      <w:proofErr w:type="spellStart"/>
      <w:r w:rsidR="00917143">
        <w:t>StrateGen</w:t>
      </w:r>
      <w:proofErr w:type="spellEnd"/>
      <w:r w:rsidR="00917143">
        <w:t xml:space="preserve">, provided </w:t>
      </w:r>
      <w:r w:rsidR="00917143" w:rsidRPr="00917143">
        <w:t>information to the Utilities for use in dev</w:t>
      </w:r>
      <w:r w:rsidR="00917143">
        <w:t xml:space="preserve">eloping a proposed PLS program. </w:t>
      </w:r>
      <w:r w:rsidR="00917143" w:rsidRPr="00917143">
        <w:t xml:space="preserve">On April 30, 2012, D.12-04-045 ordered the Utilities to </w:t>
      </w:r>
      <w:r w:rsidR="00917143">
        <w:t xml:space="preserve">work collaboratively to develop </w:t>
      </w:r>
      <w:r w:rsidR="00917143" w:rsidRPr="00917143">
        <w:t>and propose a standardized, statewide PLS prog</w:t>
      </w:r>
      <w:r w:rsidR="00917143">
        <w:t xml:space="preserve">ram. As part of the PLS program </w:t>
      </w:r>
      <w:r w:rsidR="00917143" w:rsidRPr="00917143">
        <w:t>design process, the Utilities incorporated the findings fr</w:t>
      </w:r>
      <w:r w:rsidR="00917143">
        <w:t xml:space="preserve">om the Statewide PLS Study into </w:t>
      </w:r>
      <w:r w:rsidR="00917143" w:rsidRPr="00917143">
        <w:t>the 2012-2014 PLS program design.</w:t>
      </w:r>
      <w:r w:rsidR="00917143">
        <w:t xml:space="preserve"> On July 30, 2012, the Utilities submitted a joint PLS program design proposal to the Commission Staff. The Commission Staff sought feedback from interested parties by facilitating a PLS Workshop that was held on September 18, 2012. As a result of the PLS Workshop and comments received from interested parties, Energy Division (ED) provided the Utilities program design feedback on November 13, 2012. The Utilities incorporated ED’s feedback in their final version of the program design proposal submitted on January 14, 2013.</w:t>
      </w:r>
    </w:p>
    <w:p w:rsidR="00FB4A3C" w:rsidRDefault="00FB4A3C" w:rsidP="00FB4A3C">
      <w:pPr>
        <w:pStyle w:val="BodyParagraph"/>
      </w:pPr>
      <w:r>
        <w:t>The program is in the final stages of development and approval by the CPUC.  Most recently, on Feb 12, 2013, CPUC issued a suspension notice notifying that the advice letter filed on January 14,2013</w:t>
      </w:r>
      <w:r>
        <w:rPr>
          <w:rStyle w:val="FootnoteReference"/>
        </w:rPr>
        <w:footnoteReference w:id="2"/>
      </w:r>
      <w:r>
        <w:t xml:space="preserve"> with the updated PLS program design proposal and cost-effectiveness analyses has been </w:t>
      </w:r>
      <w:r w:rsidRPr="00314B85">
        <w:t xml:space="preserve">suspended for up to 120 days beginning </w:t>
      </w:r>
      <w:r>
        <w:t>the date of the issuance of notice.</w:t>
      </w:r>
      <w:r w:rsidRPr="00FB4A3C">
        <w:t xml:space="preserve"> </w:t>
      </w:r>
      <w:r w:rsidR="00A01605">
        <w:t>I</w:t>
      </w:r>
      <w:r>
        <w:t xml:space="preserve">t is </w:t>
      </w:r>
      <w:r w:rsidR="00A01605">
        <w:t>possible</w:t>
      </w:r>
      <w:r>
        <w:t xml:space="preserve"> that the Utilities could begin enrolling customers </w:t>
      </w:r>
      <w:r w:rsidR="00A01605">
        <w:t xml:space="preserve">as early as </w:t>
      </w:r>
      <w:proofErr w:type="gramStart"/>
      <w:r w:rsidR="000F2A19">
        <w:t>Summer</w:t>
      </w:r>
      <w:proofErr w:type="gramEnd"/>
      <w:r w:rsidR="000F2A19">
        <w:t xml:space="preserve"> </w:t>
      </w:r>
      <w:r>
        <w:t>2013</w:t>
      </w:r>
      <w:r w:rsidR="00A01605">
        <w:t>, though this is dependent upon the timing of final Commission approval</w:t>
      </w:r>
      <w:r w:rsidR="000F2A19">
        <w:t xml:space="preserve"> and Fall 2013 is more likely</w:t>
      </w:r>
      <w:r>
        <w:t>.</w:t>
      </w:r>
    </w:p>
    <w:p w:rsidR="00FB4A3C" w:rsidRDefault="00FB4A3C" w:rsidP="00FB4A3C">
      <w:pPr>
        <w:pStyle w:val="BodyParagraph"/>
      </w:pPr>
      <w:r>
        <w:lastRenderedPageBreak/>
        <w:t xml:space="preserve">There are no current program participants to produce ex post impact estimates for 2012 or to use for estimating ex ante impacts.  Despite that, the </w:t>
      </w:r>
      <w:r w:rsidRPr="008C6B2C">
        <w:t xml:space="preserve">ex ante load impact estimates </w:t>
      </w:r>
      <w:r>
        <w:t>in this document</w:t>
      </w:r>
      <w:r w:rsidRPr="008C6B2C">
        <w:t xml:space="preserve"> conform to the timing and requirements of the</w:t>
      </w:r>
      <w:r>
        <w:t> </w:t>
      </w:r>
      <w:r w:rsidRPr="008C6B2C">
        <w:t>CPUC Load Impact Protocols</w:t>
      </w:r>
      <w:r>
        <w:t xml:space="preserve"> for non-event based programs.</w:t>
      </w:r>
      <w:r w:rsidRPr="008C6B2C">
        <w:rPr>
          <w:rStyle w:val="FootnoteReference"/>
          <w:rFonts w:cs="Arial"/>
        </w:rPr>
        <w:footnoteReference w:id="3"/>
      </w:r>
    </w:p>
    <w:p w:rsidR="00A64837" w:rsidRDefault="00DE351B" w:rsidP="00DE351B">
      <w:pPr>
        <w:pStyle w:val="BodyParagraph"/>
      </w:pPr>
      <w:r>
        <w:t>The current proposed PLS program design specifies a set of measured values to be collected from participants to enable load impact evaluation.  In future years, these measurements will be the basis for the ex post and ex ante impact evaluations</w:t>
      </w:r>
      <w:r w:rsidR="0061169A">
        <w:t>; although how to collect the data beyond the timeline of the current program cycle is a question still to be resolved</w:t>
      </w:r>
      <w:r>
        <w:t xml:space="preserve">.  The basis for ex ante impact estimation for </w:t>
      </w:r>
      <w:r w:rsidR="00A64837">
        <w:t>this</w:t>
      </w:r>
      <w:r>
        <w:t xml:space="preserve"> evaluation</w:t>
      </w:r>
      <w:r w:rsidR="00A64837">
        <w:t xml:space="preserve"> is simpler, and relies primarily on estimates from program managers and </w:t>
      </w:r>
      <w:r w:rsidR="00A72B35">
        <w:t>evaluation, measurement and verification (</w:t>
      </w:r>
      <w:r w:rsidR="00A64837">
        <w:t>EM&amp;V</w:t>
      </w:r>
      <w:r w:rsidR="00A72B35">
        <w:t>)</w:t>
      </w:r>
      <w:r w:rsidR="00A64837">
        <w:t xml:space="preserve"> staff combined with </w:t>
      </w:r>
      <w:r w:rsidR="00C21F82">
        <w:t>knowledge</w:t>
      </w:r>
      <w:r w:rsidR="00A64837">
        <w:t xml:space="preserve"> of the proposed rules of the program</w:t>
      </w:r>
      <w:r>
        <w:t>.</w:t>
      </w:r>
    </w:p>
    <w:p w:rsidR="00A64837" w:rsidRDefault="00A64837" w:rsidP="00A64837">
      <w:pPr>
        <w:pStyle w:val="Heading2"/>
      </w:pPr>
      <w:bookmarkStart w:id="2" w:name="_Toc352168937"/>
      <w:r>
        <w:t>Program Overview</w:t>
      </w:r>
      <w:r w:rsidR="0054176E">
        <w:rPr>
          <w:rStyle w:val="FootnoteReference"/>
        </w:rPr>
        <w:footnoteReference w:id="4"/>
      </w:r>
      <w:bookmarkEnd w:id="2"/>
    </w:p>
    <w:p w:rsidR="003C7EAF" w:rsidRDefault="00294476" w:rsidP="00A64837">
      <w:pPr>
        <w:pStyle w:val="BodyParagraph"/>
      </w:pPr>
      <w:r>
        <w:t>As it is currently proposed, t</w:t>
      </w:r>
      <w:r w:rsidR="00A64837">
        <w:t xml:space="preserve">he PLS program </w:t>
      </w:r>
      <w:r>
        <w:t xml:space="preserve">will </w:t>
      </w:r>
      <w:r w:rsidR="00A64837">
        <w:t xml:space="preserve">provide a one-time incentive payment </w:t>
      </w:r>
      <w:r w:rsidR="0054176E">
        <w:t xml:space="preserve">to </w:t>
      </w:r>
      <w:r w:rsidR="00A64837">
        <w:t>customers who install qualifying PLS technology</w:t>
      </w:r>
      <w:r w:rsidR="00A51BA8">
        <w:t xml:space="preserve"> on chilled water cooling units (which differ substantially from typical central air conditioning units)</w:t>
      </w:r>
      <w:r w:rsidR="00A64837">
        <w:t xml:space="preserve">.  Incentives </w:t>
      </w:r>
      <w:r>
        <w:t>will be</w:t>
      </w:r>
      <w:r w:rsidR="00A64837">
        <w:t xml:space="preserve"> determined based on the designed peak load shift capability of the system and th</w:t>
      </w:r>
      <w:r>
        <w:t xml:space="preserve">e installation must undergo a feasibility study by a qualified engineer. </w:t>
      </w:r>
      <w:r w:rsidR="00DE351B">
        <w:t xml:space="preserve">  </w:t>
      </w:r>
      <w:r w:rsidR="00A51BA8">
        <w:t xml:space="preserve">The load shift is typically accomplished completely through </w:t>
      </w:r>
      <w:r w:rsidR="006A7D5C">
        <w:t xml:space="preserve">substituting </w:t>
      </w:r>
      <w:r w:rsidR="00A51BA8">
        <w:t xml:space="preserve">overnight chiller load for daytime chiller load.  </w:t>
      </w:r>
      <w:r>
        <w:t>All customers are eligible for the program, including residential, commercial, industrial, agricultural, direct access and Community Choice Aggregation.</w:t>
      </w:r>
    </w:p>
    <w:p w:rsidR="00013AC5" w:rsidRPr="00013AC5" w:rsidRDefault="003C7EAF" w:rsidP="00013AC5">
      <w:pPr>
        <w:pStyle w:val="BodyParagraph"/>
      </w:pPr>
      <w:r>
        <w:t xml:space="preserve">Customers participating in the program must provide, in advance of </w:t>
      </w:r>
      <w:r w:rsidR="0054176E">
        <w:t>installation</w:t>
      </w:r>
      <w:r>
        <w:t xml:space="preserve">, an engineering feasibility study. This study will include </w:t>
      </w:r>
      <w:r w:rsidR="009F7201">
        <w:t xml:space="preserve">an </w:t>
      </w:r>
      <w:r>
        <w:t xml:space="preserve">estimated cooling profile.  </w:t>
      </w:r>
      <w:r w:rsidR="00013AC5" w:rsidRPr="00013AC5">
        <w:t xml:space="preserve">Energy models will be used to determine a customer's cooling load profile over a year (8,760 hours).  </w:t>
      </w:r>
      <w:r w:rsidR="006A7D5C">
        <w:t xml:space="preserve">To accomplish this, building </w:t>
      </w:r>
      <w:r>
        <w:t>simulation models will be used to determine hourly cooling need</w:t>
      </w:r>
      <w:r w:rsidR="006A7D5C">
        <w:t>s</w:t>
      </w:r>
      <w:r>
        <w:t xml:space="preserve"> over the course of a year, based on building specifications, regional temperatures, occupancy and other inputs.  </w:t>
      </w:r>
      <w:r w:rsidR="001930A9" w:rsidRPr="001930A9">
        <w:t xml:space="preserve">Both retrofit and new construction customers will be subjected to the energy modeling process unless utility approved usage data is available. </w:t>
      </w:r>
    </w:p>
    <w:p w:rsidR="003C7EAF" w:rsidRDefault="000F2A19" w:rsidP="003C7EAF">
      <w:pPr>
        <w:pStyle w:val="BodyParagraph"/>
      </w:pPr>
      <w:r>
        <w:t>The incentive will be determined using a customer’s peak load shift on their maximum cooling demand day (based on the on-peak hours)</w:t>
      </w:r>
      <w:proofErr w:type="gramStart"/>
      <w:r>
        <w:t>.</w:t>
      </w:r>
      <w:r w:rsidR="003C7EAF">
        <w:t>.</w:t>
      </w:r>
      <w:proofErr w:type="gramEnd"/>
      <w:r w:rsidR="003C7EAF">
        <w:t xml:space="preserve"> </w:t>
      </w:r>
      <w:r w:rsidR="00013AC5" w:rsidRPr="00013AC5">
        <w:t xml:space="preserve">A conversion factor will be used to convert the cooling load shift tons to electricity load shift (kW). </w:t>
      </w:r>
      <w:r w:rsidR="0061169A">
        <w:t xml:space="preserve"> </w:t>
      </w:r>
      <w:r w:rsidR="00013AC5" w:rsidRPr="00013AC5">
        <w:t>This methodology will be adopted for both full and partial storage systems.</w:t>
      </w:r>
      <w:r w:rsidR="003C7EAF">
        <w:t xml:space="preserve"> The proposed incentive levels for the program are $</w:t>
      </w:r>
      <w:r w:rsidR="009F7201">
        <w:t>875</w:t>
      </w:r>
      <w:r w:rsidR="003C7EAF">
        <w:t>/kW for PG&amp;E</w:t>
      </w:r>
      <w:r w:rsidR="009F7201">
        <w:t xml:space="preserve"> and</w:t>
      </w:r>
      <w:r w:rsidR="003C7EAF">
        <w:t xml:space="preserve"> SCE and $</w:t>
      </w:r>
      <w:r w:rsidR="009F7201">
        <w:t>475</w:t>
      </w:r>
      <w:r w:rsidR="003C7EAF">
        <w:t xml:space="preserve">/kW for SDG&amp;E.  </w:t>
      </w:r>
    </w:p>
    <w:p w:rsidR="003C7EAF" w:rsidRDefault="003C7EAF" w:rsidP="00A64837">
      <w:pPr>
        <w:pStyle w:val="BodyParagraph"/>
      </w:pPr>
      <w:r>
        <w:t xml:space="preserve">The incentive payments are intended to offset the cost of installation and thereby make the system more attractive financially.  </w:t>
      </w:r>
      <w:r w:rsidR="009F7201">
        <w:t>Under the proposed rules, t</w:t>
      </w:r>
      <w:r w:rsidR="0067120A">
        <w:t>he incentive cannot exceed 50% of the installat</w:t>
      </w:r>
      <w:r w:rsidR="009F7201">
        <w:t xml:space="preserve">ion cost for a given customer, and the incentive for a given site cannot exceed 10% of a given utility’s incentive budget.  </w:t>
      </w:r>
      <w:r w:rsidR="000F2A19">
        <w:t xml:space="preserve">Customer’s incentive will be determined as the lesser of the incentive reservation amount calculated from the system design or 50% of the actual final installed project cost.  </w:t>
      </w:r>
      <w:r>
        <w:t xml:space="preserve">In addition, </w:t>
      </w:r>
      <w:r w:rsidR="0054176E">
        <w:t>customers will be required to be on a</w:t>
      </w:r>
      <w:r>
        <w:t xml:space="preserve"> time-of-use (TOU) rate</w:t>
      </w:r>
      <w:r w:rsidR="0054176E">
        <w:t xml:space="preserve"> for the firs</w:t>
      </w:r>
      <w:r w:rsidR="009F7201">
        <w:t xml:space="preserve">t five years after installation.  </w:t>
      </w:r>
      <w:r>
        <w:t xml:space="preserve">The TOU structure dovetails well with the goals of the PLS program and customers are likely to save money by being </w:t>
      </w:r>
      <w:r w:rsidR="009F7201">
        <w:t xml:space="preserve">on </w:t>
      </w:r>
      <w:r>
        <w:t xml:space="preserve">TOU if they have PLS equipment installed.  </w:t>
      </w:r>
    </w:p>
    <w:p w:rsidR="009C23F2" w:rsidRDefault="009C23F2" w:rsidP="00A64837">
      <w:pPr>
        <w:pStyle w:val="BodyParagraph"/>
      </w:pPr>
      <w:r>
        <w:t>Customers will be required to commit to running their system for five years after installation, and the utilities expect that the systems will have an expected life of about 20 years.</w:t>
      </w:r>
    </w:p>
    <w:p w:rsidR="003C7EAF" w:rsidRDefault="003C7EAF" w:rsidP="003C7EAF">
      <w:pPr>
        <w:pStyle w:val="BodyParagraph"/>
      </w:pPr>
      <w:r>
        <w:t xml:space="preserve">Although the program is not yet finalized, our understanding is that the current planned incentive budgets are $13.5M for PG&amp;E, $12.7M for SCE and $2.2M for SDG&amp;E.  </w:t>
      </w:r>
      <w:r w:rsidR="009C23F2">
        <w:t>These are worth mentioning because they provide, at the least, a cap on the amount of peak period shifting that the program will provide during this program cycle.</w:t>
      </w:r>
    </w:p>
    <w:p w:rsidR="0054176E" w:rsidRDefault="0054176E" w:rsidP="003C7EAF">
      <w:pPr>
        <w:pStyle w:val="BodyParagraph"/>
      </w:pPr>
      <w:r>
        <w:t>Customers are required to run the PLS system during all weekday peak periods during summer months, which are defined slightly differently for each utility.  Table 1-1 shows the peak periods and summer months for each utility.</w:t>
      </w:r>
      <w:r w:rsidR="000F2A19">
        <w:t xml:space="preserve">  Also, it may make sense for a customer to run their system year round, in which case they may do so.</w:t>
      </w:r>
    </w:p>
    <w:p w:rsidR="0054176E" w:rsidRPr="0054176E" w:rsidRDefault="0054176E" w:rsidP="0054176E">
      <w:pPr>
        <w:pStyle w:val="BodyParagraph"/>
        <w:jc w:val="center"/>
        <w:rPr>
          <w:b/>
        </w:rPr>
      </w:pPr>
      <w:r w:rsidRPr="0054176E">
        <w:rPr>
          <w:b/>
        </w:rPr>
        <w:t>Table 1-1 Peak Periods for Each Utility</w:t>
      </w:r>
      <w:r w:rsidR="004D17C7">
        <w:rPr>
          <w:rStyle w:val="FootnoteReference"/>
          <w:b/>
        </w:rPr>
        <w:footnoteReference w:id="5"/>
      </w:r>
    </w:p>
    <w:tbl>
      <w:tblPr>
        <w:tblW w:w="5480" w:type="dxa"/>
        <w:jc w:val="center"/>
        <w:tblLook w:val="04A0"/>
      </w:tblPr>
      <w:tblGrid>
        <w:gridCol w:w="1320"/>
        <w:gridCol w:w="2380"/>
        <w:gridCol w:w="1780"/>
      </w:tblGrid>
      <w:tr w:rsidR="0054176E" w:rsidRPr="0054176E" w:rsidTr="0054176E">
        <w:trPr>
          <w:trHeight w:val="300"/>
          <w:jc w:val="center"/>
        </w:trPr>
        <w:tc>
          <w:tcPr>
            <w:tcW w:w="1320" w:type="dxa"/>
            <w:tcBorders>
              <w:top w:val="single" w:sz="4" w:space="0" w:color="auto"/>
              <w:left w:val="single" w:sz="4" w:space="0" w:color="auto"/>
              <w:bottom w:val="single" w:sz="4" w:space="0" w:color="auto"/>
              <w:right w:val="single" w:sz="4" w:space="0" w:color="auto"/>
            </w:tcBorders>
            <w:shd w:val="clear" w:color="000000" w:fill="1F497D"/>
            <w:noWrap/>
            <w:vAlign w:val="bottom"/>
            <w:hideMark/>
          </w:tcPr>
          <w:p w:rsidR="0054176E" w:rsidRPr="0054176E" w:rsidRDefault="0054176E" w:rsidP="0054176E">
            <w:pPr>
              <w:spacing w:after="0" w:line="240" w:lineRule="auto"/>
              <w:jc w:val="center"/>
              <w:rPr>
                <w:rFonts w:ascii="Calibri" w:eastAsia="Times New Roman" w:hAnsi="Calibri" w:cs="Calibri"/>
                <w:color w:val="FFFFFF"/>
              </w:rPr>
            </w:pPr>
            <w:r w:rsidRPr="0054176E">
              <w:rPr>
                <w:rFonts w:ascii="Calibri" w:eastAsia="Times New Roman" w:hAnsi="Calibri" w:cs="Calibri"/>
                <w:color w:val="FFFFFF"/>
              </w:rPr>
              <w:t>Utility</w:t>
            </w:r>
          </w:p>
        </w:tc>
        <w:tc>
          <w:tcPr>
            <w:tcW w:w="2380" w:type="dxa"/>
            <w:tcBorders>
              <w:top w:val="single" w:sz="4" w:space="0" w:color="auto"/>
              <w:left w:val="nil"/>
              <w:bottom w:val="single" w:sz="4" w:space="0" w:color="auto"/>
              <w:right w:val="single" w:sz="4" w:space="0" w:color="auto"/>
            </w:tcBorders>
            <w:shd w:val="clear" w:color="000000" w:fill="1F497D"/>
            <w:noWrap/>
            <w:vAlign w:val="bottom"/>
            <w:hideMark/>
          </w:tcPr>
          <w:p w:rsidR="0054176E" w:rsidRPr="0054176E" w:rsidRDefault="0054176E" w:rsidP="0054176E">
            <w:pPr>
              <w:spacing w:after="0" w:line="240" w:lineRule="auto"/>
              <w:jc w:val="center"/>
              <w:rPr>
                <w:rFonts w:ascii="Calibri" w:eastAsia="Times New Roman" w:hAnsi="Calibri" w:cs="Calibri"/>
                <w:color w:val="FFFFFF"/>
              </w:rPr>
            </w:pPr>
            <w:r w:rsidRPr="0054176E">
              <w:rPr>
                <w:rFonts w:ascii="Calibri" w:eastAsia="Times New Roman" w:hAnsi="Calibri" w:cs="Calibri"/>
                <w:color w:val="FFFFFF"/>
              </w:rPr>
              <w:t>Summer Months</w:t>
            </w:r>
          </w:p>
        </w:tc>
        <w:tc>
          <w:tcPr>
            <w:tcW w:w="1780" w:type="dxa"/>
            <w:tcBorders>
              <w:top w:val="single" w:sz="4" w:space="0" w:color="auto"/>
              <w:left w:val="nil"/>
              <w:bottom w:val="single" w:sz="4" w:space="0" w:color="auto"/>
              <w:right w:val="single" w:sz="4" w:space="0" w:color="auto"/>
            </w:tcBorders>
            <w:shd w:val="clear" w:color="000000" w:fill="1F497D"/>
            <w:noWrap/>
            <w:vAlign w:val="bottom"/>
            <w:hideMark/>
          </w:tcPr>
          <w:p w:rsidR="0054176E" w:rsidRPr="0054176E" w:rsidRDefault="0054176E" w:rsidP="0054176E">
            <w:pPr>
              <w:spacing w:after="0" w:line="240" w:lineRule="auto"/>
              <w:jc w:val="center"/>
              <w:rPr>
                <w:rFonts w:ascii="Calibri" w:eastAsia="Times New Roman" w:hAnsi="Calibri" w:cs="Calibri"/>
                <w:color w:val="FFFFFF"/>
              </w:rPr>
            </w:pPr>
            <w:r w:rsidRPr="0054176E">
              <w:rPr>
                <w:rFonts w:ascii="Calibri" w:eastAsia="Times New Roman" w:hAnsi="Calibri" w:cs="Calibri"/>
                <w:color w:val="FFFFFF"/>
              </w:rPr>
              <w:t>Peak Hours</w:t>
            </w:r>
          </w:p>
        </w:tc>
      </w:tr>
      <w:tr w:rsidR="0054176E" w:rsidRPr="0054176E" w:rsidTr="0054176E">
        <w:trPr>
          <w:trHeight w:val="300"/>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PG&amp;E</w:t>
            </w:r>
          </w:p>
        </w:tc>
        <w:tc>
          <w:tcPr>
            <w:tcW w:w="23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May 1-October 31</w:t>
            </w:r>
          </w:p>
        </w:tc>
        <w:tc>
          <w:tcPr>
            <w:tcW w:w="17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12-6 PM</w:t>
            </w:r>
          </w:p>
        </w:tc>
      </w:tr>
      <w:tr w:rsidR="0054176E" w:rsidRPr="0054176E" w:rsidTr="0054176E">
        <w:trPr>
          <w:trHeight w:val="300"/>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SCE</w:t>
            </w:r>
          </w:p>
        </w:tc>
        <w:tc>
          <w:tcPr>
            <w:tcW w:w="23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June 1-September 30</w:t>
            </w:r>
          </w:p>
        </w:tc>
        <w:tc>
          <w:tcPr>
            <w:tcW w:w="17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12-6 PM</w:t>
            </w:r>
          </w:p>
        </w:tc>
      </w:tr>
      <w:tr w:rsidR="0054176E" w:rsidRPr="0054176E" w:rsidTr="0054176E">
        <w:trPr>
          <w:trHeight w:val="300"/>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SDG&amp;E</w:t>
            </w:r>
          </w:p>
        </w:tc>
        <w:tc>
          <w:tcPr>
            <w:tcW w:w="23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May 1-October 31</w:t>
            </w:r>
          </w:p>
        </w:tc>
        <w:tc>
          <w:tcPr>
            <w:tcW w:w="1780" w:type="dxa"/>
            <w:tcBorders>
              <w:top w:val="nil"/>
              <w:left w:val="nil"/>
              <w:bottom w:val="single" w:sz="4" w:space="0" w:color="auto"/>
              <w:right w:val="single" w:sz="4" w:space="0" w:color="auto"/>
            </w:tcBorders>
            <w:shd w:val="clear" w:color="auto" w:fill="auto"/>
            <w:noWrap/>
            <w:vAlign w:val="bottom"/>
            <w:hideMark/>
          </w:tcPr>
          <w:p w:rsidR="0054176E" w:rsidRPr="0054176E" w:rsidRDefault="0054176E" w:rsidP="0054176E">
            <w:pPr>
              <w:spacing w:after="0" w:line="240" w:lineRule="auto"/>
              <w:jc w:val="center"/>
              <w:rPr>
                <w:rFonts w:ascii="Calibri" w:eastAsia="Times New Roman" w:hAnsi="Calibri" w:cs="Calibri"/>
                <w:color w:val="000000"/>
              </w:rPr>
            </w:pPr>
            <w:r w:rsidRPr="0054176E">
              <w:rPr>
                <w:rFonts w:ascii="Calibri" w:eastAsia="Times New Roman" w:hAnsi="Calibri" w:cs="Calibri"/>
                <w:color w:val="000000"/>
              </w:rPr>
              <w:t>11 AM-6 PM</w:t>
            </w:r>
          </w:p>
        </w:tc>
      </w:tr>
    </w:tbl>
    <w:p w:rsidR="0054176E" w:rsidRDefault="0054176E" w:rsidP="003C7EAF">
      <w:pPr>
        <w:pStyle w:val="BodyParagraph"/>
      </w:pPr>
    </w:p>
    <w:p w:rsidR="001B352B" w:rsidRPr="009C23F2" w:rsidRDefault="0067120A" w:rsidP="009C23F2">
      <w:pPr>
        <w:pStyle w:val="BodyParagraph"/>
      </w:pPr>
      <w:r>
        <w:t>In addition to the rules discussed here, there are a set of technical requirements that each installation must fulfill</w:t>
      </w:r>
      <w:r w:rsidR="00387B04">
        <w:t>, as well as a set of steps for EM&amp;V</w:t>
      </w:r>
      <w:r>
        <w:t xml:space="preserve">.  </w:t>
      </w:r>
      <w:r w:rsidR="00013AC5">
        <w:t xml:space="preserve">Discussion of these is not necessary to understand the remainder of the evaluation and therefore, </w:t>
      </w:r>
      <w:proofErr w:type="gramStart"/>
      <w:r w:rsidR="00013AC5">
        <w:t xml:space="preserve">is </w:t>
      </w:r>
      <w:r>
        <w:t xml:space="preserve"> not</w:t>
      </w:r>
      <w:proofErr w:type="gramEnd"/>
      <w:r>
        <w:t xml:space="preserve"> included.</w:t>
      </w:r>
      <w:r w:rsidR="00387B04">
        <w:t xml:space="preserve">  These issues may be important in future evaluations.</w:t>
      </w:r>
    </w:p>
    <w:p w:rsidR="009C23F2" w:rsidRDefault="009C23F2">
      <w:pPr>
        <w:rPr>
          <w:rFonts w:ascii="Verdana" w:eastAsia="Times New Roman" w:hAnsi="Verdana" w:cs="Times New Roman"/>
          <w:b/>
          <w:color w:val="403152" w:themeColor="accent4" w:themeShade="80"/>
          <w:sz w:val="28"/>
          <w:szCs w:val="28"/>
        </w:rPr>
      </w:pPr>
      <w:r>
        <w:br w:type="page"/>
      </w:r>
    </w:p>
    <w:p w:rsidR="00752687" w:rsidRDefault="001C35AF" w:rsidP="00B14560">
      <w:pPr>
        <w:pStyle w:val="Heading1"/>
      </w:pPr>
      <w:bookmarkStart w:id="3" w:name="_Toc352168938"/>
      <w:r>
        <w:t xml:space="preserve">Assumptions </w:t>
      </w:r>
      <w:r w:rsidR="00B14560">
        <w:t xml:space="preserve">and </w:t>
      </w:r>
      <w:r>
        <w:t>Methods</w:t>
      </w:r>
      <w:bookmarkEnd w:id="3"/>
    </w:p>
    <w:p w:rsidR="00E51799" w:rsidRDefault="009C23F2" w:rsidP="00B14560">
      <w:pPr>
        <w:pStyle w:val="BodyParagraph"/>
      </w:pPr>
      <w:r>
        <w:t>No customers are</w:t>
      </w:r>
      <w:r w:rsidR="00E51799">
        <w:t xml:space="preserve"> currently enrolled </w:t>
      </w:r>
      <w:r w:rsidR="00013AC5">
        <w:t>in</w:t>
      </w:r>
      <w:r>
        <w:t xml:space="preserve"> </w:t>
      </w:r>
      <w:r w:rsidR="00E51799">
        <w:t>PLS</w:t>
      </w:r>
      <w:r w:rsidR="00013AC5">
        <w:t xml:space="preserve"> (as described in the earlier section)</w:t>
      </w:r>
      <w:r w:rsidR="00E51799">
        <w:t xml:space="preserve"> to use for modeling load impacts.  Each </w:t>
      </w:r>
      <w:r w:rsidR="008A188B">
        <w:t xml:space="preserve">utility </w:t>
      </w:r>
      <w:r w:rsidR="00E51799">
        <w:t xml:space="preserve">had a </w:t>
      </w:r>
      <w:r w:rsidR="00A23B9E">
        <w:t xml:space="preserve">previous PLS </w:t>
      </w:r>
      <w:r w:rsidR="00E51799">
        <w:t>program, but those programs differed in their details and in general, they do not provide useful information for forecasting load impacts</w:t>
      </w:r>
      <w:r w:rsidR="008A188B">
        <w:t xml:space="preserve"> for this program</w:t>
      </w:r>
      <w:r w:rsidR="00E51799">
        <w:t xml:space="preserve">.  This is because the primary sources of uncertainty in the impact forecasts are not characteristics of customers who </w:t>
      </w:r>
      <w:r w:rsidR="00921615">
        <w:t xml:space="preserve">are likely to </w:t>
      </w:r>
      <w:r w:rsidR="00E51799">
        <w:t>enroll or other attributes that could be observed in existing installations.  The primary sources of uncertainty are how many customers are likely to enroll</w:t>
      </w:r>
      <w:r w:rsidR="008A188B">
        <w:t xml:space="preserve"> in the new program</w:t>
      </w:r>
      <w:r w:rsidR="00E51799">
        <w:t xml:space="preserve">, what size their installations will be and where they will be located.  </w:t>
      </w:r>
    </w:p>
    <w:p w:rsidR="00B115D8" w:rsidRDefault="00E51799" w:rsidP="00B14560">
      <w:pPr>
        <w:pStyle w:val="BodyParagraph"/>
      </w:pPr>
      <w:r>
        <w:t xml:space="preserve">To produce forecasts of load impacts we have used assumptions that are as consistent as possible with the best estimates of the program managers and EM&amp;V staff at each </w:t>
      </w:r>
      <w:r w:rsidR="008A188B">
        <w:t>utility</w:t>
      </w:r>
      <w:r>
        <w:t xml:space="preserve">.  </w:t>
      </w:r>
      <w:r w:rsidR="00E138D8">
        <w:t>All these assumptions should be taken with a high degree of uncertaint</w:t>
      </w:r>
      <w:r w:rsidR="00B115D8">
        <w:t>y for two reasons:</w:t>
      </w:r>
    </w:p>
    <w:p w:rsidR="00B115D8" w:rsidRDefault="00B115D8" w:rsidP="00B115D8">
      <w:pPr>
        <w:pStyle w:val="Bullets"/>
      </w:pPr>
      <w:r>
        <w:t xml:space="preserve"> .  The program design is not final; changes in incentive levels or other rules could have a large impact on program staff’s best estimates of future enrollment; and</w:t>
      </w:r>
    </w:p>
    <w:p w:rsidR="00B115D8" w:rsidRDefault="00B115D8" w:rsidP="00B115D8">
      <w:pPr>
        <w:pStyle w:val="BulletLast"/>
      </w:pPr>
      <w:r>
        <w:t xml:space="preserve">Even if the rules were finalized, projecting take-up of any product is inherently uncertain.  That uncertainty is compounded here by the fairly high-investment and bespoke nature of each installation.  Without a detailed assessment of any given site, it’s hard to know whether it would be a good candidate for PLS.  </w:t>
      </w:r>
      <w:r w:rsidR="004E2656">
        <w:t xml:space="preserve">There isn’t an easy-to-define potential market that can be identified precisely without a large amount of information.  </w:t>
      </w:r>
      <w:r>
        <w:t>Therefore our estimates of enrollment would not be highly precise even given the program rules as we assume them;</w:t>
      </w:r>
    </w:p>
    <w:p w:rsidR="00D02B8E" w:rsidRDefault="00E138D8" w:rsidP="00B14560">
      <w:pPr>
        <w:pStyle w:val="BodyParagraph"/>
      </w:pPr>
      <w:r>
        <w:t>We have attempted to illustrate this by providing low-case, medium-case and high-case load impacts.  The medium-case is the expected value based on our discussions with utility staff.  The low case is half that value and the high case is 150% of that value.</w:t>
      </w:r>
      <w:r w:rsidR="0005127F">
        <w:rPr>
          <w:rStyle w:val="FootnoteReference"/>
        </w:rPr>
        <w:footnoteReference w:id="6"/>
      </w:r>
      <w:r>
        <w:t xml:space="preserve">  </w:t>
      </w:r>
      <w:r w:rsidR="004E2656">
        <w:t xml:space="preserve">Under the high scenario, customer enrollment would significantly exceed the current best guesses of program staff.  This could be due to rules changes prior to program inception or due to uncertainties in the expected market size.  Similarly, under the low scenario, enrollment would fall significantly short, with the same possible sources of the difference.  </w:t>
      </w:r>
      <w:r>
        <w:t xml:space="preserve">Even this range may not fully cover the outcomes that the program experiences.  In a case like this with such high uncertainty, we do not assert </w:t>
      </w:r>
      <w:r w:rsidR="00866A8F">
        <w:t>that others might not make different projections or consider different assumptions reasonable.  We have tried to be as transparent as possible about all of our assumptions and to show how they lead to our ultimate load impact forecasts to allow others to see how different assumptions might produce different values.</w:t>
      </w:r>
    </w:p>
    <w:p w:rsidR="006A7D5C" w:rsidRDefault="006A7D5C" w:rsidP="00B14560">
      <w:pPr>
        <w:pStyle w:val="BodyParagraph"/>
      </w:pPr>
      <w:r>
        <w:t>The main alternative to the method we have used would be to undertake a market research study to understand which customers would be likely to enroll in this program over the next two years.  This would be substantially more complicated and expensive than the method used here and it is not clear that it would produce substantially more precise estimates due to the uncertainty in customers’ abilities to project their own take-up of a currently hypothetical program.</w:t>
      </w:r>
      <w:r w:rsidR="004E2656">
        <w:t xml:space="preserve">  For that reason, this type of study has not been done, and we rely on estimates from utility staff.</w:t>
      </w:r>
    </w:p>
    <w:p w:rsidR="002A080E" w:rsidRDefault="00D02B8E" w:rsidP="00B14560">
      <w:pPr>
        <w:pStyle w:val="BodyParagraph"/>
      </w:pPr>
      <w:r>
        <w:t xml:space="preserve">Our method begins with </w:t>
      </w:r>
      <w:r w:rsidR="002A457A">
        <w:t>estimates of</w:t>
      </w:r>
      <w:r>
        <w:t xml:space="preserve"> the enrollment </w:t>
      </w:r>
      <w:r w:rsidR="002A457A">
        <w:t xml:space="preserve">for each utility </w:t>
      </w:r>
      <w:r>
        <w:t xml:space="preserve">from now until the end of 2014, including the number of sites, the designed peak shift and the geographic distribution of those sites.  We </w:t>
      </w:r>
      <w:r w:rsidR="008A188B">
        <w:t xml:space="preserve">have </w:t>
      </w:r>
      <w:r>
        <w:t>broken this forecast into two categories</w:t>
      </w:r>
      <w:r w:rsidR="009C23F2">
        <w:t>:</w:t>
      </w:r>
      <w:r>
        <w:t xml:space="preserve"> sites expected to be installed prior to June 201</w:t>
      </w:r>
      <w:r w:rsidR="002A457A">
        <w:t>4</w:t>
      </w:r>
      <w:r>
        <w:t xml:space="preserve"> and sites expected to be installed after that</w:t>
      </w:r>
      <w:r w:rsidR="008A188B">
        <w:t xml:space="preserve">.  </w:t>
      </w:r>
      <w:r w:rsidR="002A080E">
        <w:t>For simplicity, we assume that sites installed after June 2014 will not be operational until the following summer.  This simplifying assumption allows us to avoid the false precision of attempting to project site installations precisely at the monthly level.  As it is, these projections should be understood to be highly approximate and the distinction between pre-June 2014 and post-June 2014 is mainly meant to illustrate that we expect some installations to take place during or after summer 2014, but prior to the end of the program cycle when the incentive budgets will no longer support new installations.</w:t>
      </w:r>
    </w:p>
    <w:p w:rsidR="008A188B" w:rsidRDefault="008A188B" w:rsidP="00B14560">
      <w:pPr>
        <w:pStyle w:val="BodyParagraph"/>
      </w:pPr>
      <w:r>
        <w:t>Table 2-1 shows these enrollment forecasts by local capac</w:t>
      </w:r>
      <w:r w:rsidR="009C23F2">
        <w:t>ity area (LCA) for each utility</w:t>
      </w:r>
      <w:r>
        <w:t xml:space="preserve"> (SDG&amp;E contains only one LCA).</w:t>
      </w:r>
      <w:r w:rsidR="006A7D5C">
        <w:t xml:space="preserve">  The table also shows the expected percentage of each utility’s incentive budget that will be spent by the end of 2014</w:t>
      </w:r>
      <w:r w:rsidR="006A7D5C" w:rsidRPr="00CC66E7">
        <w:t xml:space="preserve"> </w:t>
      </w:r>
      <w:r w:rsidR="006A7D5C">
        <w:t>under these assumptions.  The percentage is fairly similar for each utility and close to 1/3.</w:t>
      </w:r>
      <w:r w:rsidR="004E2656">
        <w:t xml:space="preserve">  Again, these values are based on direct estimates by utility staff.  In some cases, staff </w:t>
      </w:r>
      <w:r w:rsidR="00162887">
        <w:t>provided estimates of</w:t>
      </w:r>
      <w:r w:rsidR="004E2656">
        <w:t xml:space="preserve"> total </w:t>
      </w:r>
      <w:r w:rsidR="00162887">
        <w:t xml:space="preserve">cooling tons, which were converted to kW at a rate </w:t>
      </w:r>
      <w:proofErr w:type="gramStart"/>
      <w:r w:rsidR="00162887">
        <w:t>of 0.7 kW/ton</w:t>
      </w:r>
      <w:proofErr w:type="gramEnd"/>
      <w:r w:rsidR="00162887">
        <w:t>.  In other cases, staff directly estimated expected load reduction in kW.</w:t>
      </w:r>
    </w:p>
    <w:p w:rsidR="006A7D5C" w:rsidRDefault="008A188B" w:rsidP="006A7D5C">
      <w:pPr>
        <w:pStyle w:val="BodyParagraph"/>
        <w:keepNext/>
        <w:jc w:val="center"/>
      </w:pPr>
      <w:r w:rsidRPr="008A188B">
        <w:rPr>
          <w:b/>
        </w:rPr>
        <w:t xml:space="preserve">Table 2-1:  Enrollment Forecasts </w:t>
      </w:r>
      <w:r w:rsidR="002A457A" w:rsidRPr="008A188B">
        <w:rPr>
          <w:b/>
        </w:rPr>
        <w:t>by</w:t>
      </w:r>
      <w:r w:rsidRPr="008A188B">
        <w:rPr>
          <w:b/>
        </w:rPr>
        <w:t xml:space="preserve"> LCA for Each Utility</w:t>
      </w:r>
    </w:p>
    <w:tbl>
      <w:tblPr>
        <w:tblW w:w="7554" w:type="dxa"/>
        <w:jc w:val="center"/>
        <w:tblLook w:val="04A0"/>
      </w:tblPr>
      <w:tblGrid>
        <w:gridCol w:w="960"/>
        <w:gridCol w:w="1900"/>
        <w:gridCol w:w="1113"/>
        <w:gridCol w:w="807"/>
        <w:gridCol w:w="1113"/>
        <w:gridCol w:w="807"/>
        <w:gridCol w:w="1039"/>
      </w:tblGrid>
      <w:tr w:rsidR="006A7D5C" w:rsidRPr="008A188B" w:rsidTr="00806233">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000000" w:fill="1F497D"/>
            <w:noWrap/>
            <w:vAlign w:val="center"/>
            <w:hideMark/>
          </w:tcPr>
          <w:p w:rsidR="006A7D5C" w:rsidRPr="008A188B" w:rsidRDefault="006A7D5C" w:rsidP="00D660A3">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Utility</w:t>
            </w:r>
          </w:p>
        </w:tc>
        <w:tc>
          <w:tcPr>
            <w:tcW w:w="1900" w:type="dxa"/>
            <w:vMerge w:val="restart"/>
            <w:tcBorders>
              <w:top w:val="single" w:sz="4" w:space="0" w:color="auto"/>
              <w:left w:val="single" w:sz="4" w:space="0" w:color="auto"/>
              <w:bottom w:val="single" w:sz="4" w:space="0" w:color="auto"/>
              <w:right w:val="single" w:sz="4" w:space="0" w:color="auto"/>
            </w:tcBorders>
            <w:shd w:val="clear" w:color="000000" w:fill="1F497D"/>
            <w:noWrap/>
            <w:vAlign w:val="center"/>
            <w:hideMark/>
          </w:tcPr>
          <w:p w:rsidR="006A7D5C" w:rsidRPr="008A188B" w:rsidRDefault="006A7D5C" w:rsidP="00D660A3">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LCA</w:t>
            </w:r>
          </w:p>
        </w:tc>
        <w:tc>
          <w:tcPr>
            <w:tcW w:w="1920" w:type="dxa"/>
            <w:gridSpan w:val="2"/>
            <w:tcBorders>
              <w:top w:val="single" w:sz="4" w:space="0" w:color="auto"/>
              <w:left w:val="nil"/>
              <w:bottom w:val="single" w:sz="4" w:space="0" w:color="auto"/>
              <w:right w:val="single" w:sz="4" w:space="0" w:color="auto"/>
            </w:tcBorders>
            <w:shd w:val="clear" w:color="000000" w:fill="1F497D"/>
            <w:noWrap/>
            <w:vAlign w:val="center"/>
            <w:hideMark/>
          </w:tcPr>
          <w:p w:rsidR="006A7D5C" w:rsidRPr="008A188B" w:rsidRDefault="006A7D5C" w:rsidP="00806233">
            <w:pPr>
              <w:keepNext/>
              <w:spacing w:after="0" w:line="240" w:lineRule="auto"/>
              <w:jc w:val="center"/>
              <w:rPr>
                <w:rFonts w:ascii="Calibri" w:eastAsia="Times New Roman" w:hAnsi="Calibri" w:cs="Calibri"/>
                <w:color w:val="FFFFFF"/>
              </w:rPr>
            </w:pPr>
            <w:r>
              <w:rPr>
                <w:rFonts w:ascii="Calibri" w:eastAsia="Times New Roman" w:hAnsi="Calibri" w:cs="Calibri"/>
                <w:color w:val="FFFFFF"/>
              </w:rPr>
              <w:t xml:space="preserve">Installed </w:t>
            </w:r>
            <w:r w:rsidRPr="008A188B">
              <w:rPr>
                <w:rFonts w:ascii="Calibri" w:eastAsia="Times New Roman" w:hAnsi="Calibri" w:cs="Calibri"/>
                <w:color w:val="FFFFFF"/>
              </w:rPr>
              <w:t>Pre June 201</w:t>
            </w:r>
            <w:r>
              <w:rPr>
                <w:rFonts w:ascii="Calibri" w:eastAsia="Times New Roman" w:hAnsi="Calibri" w:cs="Calibri"/>
                <w:color w:val="FFFFFF"/>
              </w:rPr>
              <w:t>4</w:t>
            </w:r>
          </w:p>
        </w:tc>
        <w:tc>
          <w:tcPr>
            <w:tcW w:w="1920" w:type="dxa"/>
            <w:gridSpan w:val="2"/>
            <w:tcBorders>
              <w:top w:val="single" w:sz="4" w:space="0" w:color="auto"/>
              <w:left w:val="nil"/>
              <w:bottom w:val="single" w:sz="4" w:space="0" w:color="auto"/>
              <w:right w:val="single" w:sz="4" w:space="0" w:color="auto"/>
            </w:tcBorders>
            <w:shd w:val="clear" w:color="000000" w:fill="1F497D"/>
            <w:noWrap/>
            <w:vAlign w:val="center"/>
            <w:hideMark/>
          </w:tcPr>
          <w:p w:rsidR="00F73609" w:rsidRDefault="006A7D5C">
            <w:pPr>
              <w:keepNext/>
              <w:spacing w:after="0" w:line="240" w:lineRule="auto"/>
              <w:jc w:val="center"/>
              <w:rPr>
                <w:rFonts w:ascii="Calibri" w:eastAsia="Times New Roman" w:hAnsi="Calibri" w:cs="Calibri"/>
                <w:color w:val="FFFFFF"/>
              </w:rPr>
            </w:pPr>
            <w:r>
              <w:rPr>
                <w:rFonts w:ascii="Calibri" w:eastAsia="Times New Roman" w:hAnsi="Calibri" w:cs="Calibri"/>
                <w:color w:val="FFFFFF"/>
              </w:rPr>
              <w:t xml:space="preserve">Installed </w:t>
            </w:r>
            <w:r w:rsidRPr="008A188B">
              <w:rPr>
                <w:rFonts w:ascii="Calibri" w:eastAsia="Times New Roman" w:hAnsi="Calibri" w:cs="Calibri"/>
                <w:color w:val="FFFFFF"/>
              </w:rPr>
              <w:t>Post June 201</w:t>
            </w:r>
            <w:r>
              <w:rPr>
                <w:rFonts w:ascii="Calibri" w:eastAsia="Times New Roman" w:hAnsi="Calibri" w:cs="Calibri"/>
                <w:color w:val="FFFFFF"/>
              </w:rPr>
              <w:t>4</w:t>
            </w:r>
          </w:p>
        </w:tc>
        <w:tc>
          <w:tcPr>
            <w:tcW w:w="854" w:type="dxa"/>
            <w:vMerge w:val="restart"/>
            <w:tcBorders>
              <w:top w:val="single" w:sz="4" w:space="0" w:color="auto"/>
              <w:left w:val="nil"/>
              <w:right w:val="single" w:sz="4" w:space="0" w:color="auto"/>
            </w:tcBorders>
            <w:shd w:val="clear" w:color="000000" w:fill="1F497D"/>
          </w:tcPr>
          <w:p w:rsidR="006A7D5C" w:rsidRPr="008A188B" w:rsidRDefault="006A7D5C" w:rsidP="00D660A3">
            <w:pPr>
              <w:keepNext/>
              <w:spacing w:after="0" w:line="240" w:lineRule="auto"/>
              <w:jc w:val="center"/>
              <w:rPr>
                <w:rFonts w:ascii="Calibri" w:eastAsia="Times New Roman" w:hAnsi="Calibri" w:cs="Calibri"/>
                <w:color w:val="FFFFFF"/>
              </w:rPr>
            </w:pPr>
            <w:r>
              <w:rPr>
                <w:rFonts w:ascii="Calibri" w:eastAsia="Times New Roman" w:hAnsi="Calibri" w:cs="Calibri"/>
                <w:color w:val="FFFFFF"/>
              </w:rPr>
              <w:t xml:space="preserve">% of </w:t>
            </w:r>
            <w:r w:rsidR="000F2A19">
              <w:rPr>
                <w:rFonts w:ascii="Calibri" w:eastAsia="Times New Roman" w:hAnsi="Calibri" w:cs="Calibri"/>
                <w:color w:val="FFFFFF"/>
              </w:rPr>
              <w:t xml:space="preserve">Incentive </w:t>
            </w:r>
            <w:r>
              <w:rPr>
                <w:rFonts w:ascii="Calibri" w:eastAsia="Times New Roman" w:hAnsi="Calibri" w:cs="Calibri"/>
                <w:color w:val="FFFFFF"/>
              </w:rPr>
              <w:t>Budget Spent</w:t>
            </w:r>
          </w:p>
        </w:tc>
      </w:tr>
      <w:tr w:rsidR="006A7D5C" w:rsidRPr="008A188B" w:rsidTr="00806233">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6A7D5C" w:rsidRPr="008A188B" w:rsidRDefault="006A7D5C" w:rsidP="00D660A3">
            <w:pPr>
              <w:keepNext/>
              <w:spacing w:after="0" w:line="240" w:lineRule="auto"/>
              <w:rPr>
                <w:rFonts w:ascii="Calibri" w:eastAsia="Times New Roman" w:hAnsi="Calibri" w:cs="Calibri"/>
                <w:color w:val="FFFFFF"/>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rsidR="006A7D5C" w:rsidRPr="008A188B" w:rsidRDefault="006A7D5C" w:rsidP="00D660A3">
            <w:pPr>
              <w:keepNext/>
              <w:spacing w:after="0" w:line="240" w:lineRule="auto"/>
              <w:rPr>
                <w:rFonts w:ascii="Calibri" w:eastAsia="Times New Roman" w:hAnsi="Calibri" w:cs="Calibri"/>
                <w:color w:val="FFFFFF"/>
              </w:rPr>
            </w:pPr>
          </w:p>
        </w:tc>
        <w:tc>
          <w:tcPr>
            <w:tcW w:w="1113" w:type="dxa"/>
            <w:tcBorders>
              <w:top w:val="nil"/>
              <w:left w:val="nil"/>
              <w:bottom w:val="single" w:sz="4" w:space="0" w:color="auto"/>
              <w:right w:val="single" w:sz="4" w:space="0" w:color="auto"/>
            </w:tcBorders>
            <w:shd w:val="clear" w:color="000000" w:fill="1F497D"/>
            <w:noWrap/>
            <w:vAlign w:val="center"/>
            <w:hideMark/>
          </w:tcPr>
          <w:p w:rsidR="006A7D5C" w:rsidRPr="008A188B" w:rsidRDefault="006A7D5C" w:rsidP="00806233">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Sites</w:t>
            </w:r>
          </w:p>
        </w:tc>
        <w:tc>
          <w:tcPr>
            <w:tcW w:w="807" w:type="dxa"/>
            <w:tcBorders>
              <w:top w:val="nil"/>
              <w:left w:val="nil"/>
              <w:bottom w:val="single" w:sz="4" w:space="0" w:color="auto"/>
              <w:right w:val="single" w:sz="4" w:space="0" w:color="auto"/>
            </w:tcBorders>
            <w:shd w:val="clear" w:color="000000" w:fill="1F497D"/>
            <w:noWrap/>
            <w:vAlign w:val="center"/>
            <w:hideMark/>
          </w:tcPr>
          <w:p w:rsidR="00F73609" w:rsidRDefault="006A7D5C">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kW</w:t>
            </w:r>
          </w:p>
        </w:tc>
        <w:tc>
          <w:tcPr>
            <w:tcW w:w="1113" w:type="dxa"/>
            <w:tcBorders>
              <w:top w:val="nil"/>
              <w:left w:val="nil"/>
              <w:bottom w:val="single" w:sz="4" w:space="0" w:color="auto"/>
              <w:right w:val="single" w:sz="4" w:space="0" w:color="auto"/>
            </w:tcBorders>
            <w:shd w:val="clear" w:color="000000" w:fill="1F497D"/>
            <w:noWrap/>
            <w:vAlign w:val="center"/>
            <w:hideMark/>
          </w:tcPr>
          <w:p w:rsidR="00F73609" w:rsidRDefault="006A7D5C">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Sites</w:t>
            </w:r>
          </w:p>
        </w:tc>
        <w:tc>
          <w:tcPr>
            <w:tcW w:w="807" w:type="dxa"/>
            <w:tcBorders>
              <w:top w:val="nil"/>
              <w:left w:val="nil"/>
              <w:bottom w:val="single" w:sz="4" w:space="0" w:color="auto"/>
              <w:right w:val="single" w:sz="4" w:space="0" w:color="auto"/>
            </w:tcBorders>
            <w:shd w:val="clear" w:color="000000" w:fill="1F497D"/>
            <w:noWrap/>
            <w:vAlign w:val="center"/>
            <w:hideMark/>
          </w:tcPr>
          <w:p w:rsidR="00F73609" w:rsidRDefault="006A7D5C">
            <w:pPr>
              <w:keepNext/>
              <w:spacing w:after="0" w:line="240" w:lineRule="auto"/>
              <w:jc w:val="center"/>
              <w:rPr>
                <w:rFonts w:ascii="Calibri" w:eastAsia="Times New Roman" w:hAnsi="Calibri" w:cs="Calibri"/>
                <w:color w:val="FFFFFF"/>
              </w:rPr>
            </w:pPr>
            <w:r w:rsidRPr="008A188B">
              <w:rPr>
                <w:rFonts w:ascii="Calibri" w:eastAsia="Times New Roman" w:hAnsi="Calibri" w:cs="Calibri"/>
                <w:color w:val="FFFFFF"/>
              </w:rPr>
              <w:t>kW</w:t>
            </w:r>
          </w:p>
        </w:tc>
        <w:tc>
          <w:tcPr>
            <w:tcW w:w="854" w:type="dxa"/>
            <w:vMerge/>
            <w:tcBorders>
              <w:left w:val="nil"/>
              <w:bottom w:val="single" w:sz="4" w:space="0" w:color="auto"/>
              <w:right w:val="single" w:sz="4" w:space="0" w:color="auto"/>
            </w:tcBorders>
            <w:shd w:val="clear" w:color="000000" w:fill="1F497D"/>
          </w:tcPr>
          <w:p w:rsidR="006A7D5C" w:rsidRPr="008A188B" w:rsidRDefault="006A7D5C" w:rsidP="00D660A3">
            <w:pPr>
              <w:keepNext/>
              <w:spacing w:after="0" w:line="240" w:lineRule="auto"/>
              <w:jc w:val="center"/>
              <w:rPr>
                <w:rFonts w:ascii="Calibri" w:eastAsia="Times New Roman" w:hAnsi="Calibri" w:cs="Calibri"/>
                <w:color w:val="FFFFFF"/>
              </w:rPr>
            </w:pPr>
          </w:p>
        </w:tc>
      </w:tr>
      <w:tr w:rsidR="006A7D5C" w:rsidRPr="00644341" w:rsidTr="00806233">
        <w:trPr>
          <w:trHeight w:val="300"/>
          <w:jc w:val="center"/>
        </w:trPr>
        <w:tc>
          <w:tcPr>
            <w:tcW w:w="960" w:type="dxa"/>
            <w:vMerge w:val="restart"/>
            <w:tcBorders>
              <w:top w:val="nil"/>
              <w:left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PG&amp;E</w:t>
            </w: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Greater Bay Area</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350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350</w:t>
            </w:r>
          </w:p>
        </w:tc>
        <w:tc>
          <w:tcPr>
            <w:tcW w:w="854" w:type="dxa"/>
            <w:vMerge w:val="restart"/>
            <w:tcBorders>
              <w:top w:val="nil"/>
              <w:left w:val="nil"/>
              <w:right w:val="single" w:sz="4" w:space="0" w:color="auto"/>
            </w:tcBorders>
            <w:vAlign w:val="center"/>
          </w:tcPr>
          <w:p w:rsidR="00F73609" w:rsidRDefault="0094629C">
            <w:pPr>
              <w:keepNext/>
              <w:spacing w:after="0" w:line="240" w:lineRule="auto"/>
              <w:jc w:val="center"/>
              <w:rPr>
                <w:color w:val="000000" w:themeColor="text1"/>
                <w:sz w:val="18"/>
                <w:szCs w:val="18"/>
              </w:rPr>
            </w:pPr>
            <w:r w:rsidRPr="0094629C">
              <w:rPr>
                <w:b/>
                <w:color w:val="000000" w:themeColor="text1"/>
                <w:sz w:val="18"/>
                <w:szCs w:val="18"/>
              </w:rPr>
              <w:t>32</w:t>
            </w: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Greater Fresno</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854" w:type="dxa"/>
            <w:vMerge/>
            <w:tcBorders>
              <w:left w:val="nil"/>
              <w:right w:val="single" w:sz="4" w:space="0" w:color="auto"/>
            </w:tcBorders>
            <w:vAlign w:val="center"/>
          </w:tcPr>
          <w:p w:rsidR="00F73609" w:rsidRDefault="00F73609">
            <w:pPr>
              <w:keepNext/>
              <w:spacing w:after="0" w:line="240" w:lineRule="auto"/>
              <w:jc w:val="center"/>
              <w:rPr>
                <w:rFonts w:eastAsia="Times New Roman" w:cs="Times New Roman"/>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Humboldt</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100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Kern</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854" w:type="dxa"/>
            <w:vMerge/>
            <w:tcBorders>
              <w:left w:val="nil"/>
              <w:right w:val="single" w:sz="4" w:space="0" w:color="auto"/>
            </w:tcBorders>
            <w:vAlign w:val="center"/>
          </w:tcPr>
          <w:p w:rsidR="00F73609" w:rsidRDefault="00F73609">
            <w:pPr>
              <w:keepNext/>
              <w:spacing w:after="0" w:line="240" w:lineRule="auto"/>
              <w:jc w:val="center"/>
              <w:rPr>
                <w:rFonts w:eastAsia="Times New Roman" w:cs="Times New Roman"/>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Northern Coast</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Sierra</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275</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854" w:type="dxa"/>
            <w:vMerge/>
            <w:tcBorders>
              <w:left w:val="nil"/>
              <w:right w:val="single" w:sz="4" w:space="0" w:color="auto"/>
            </w:tcBorders>
            <w:vAlign w:val="center"/>
          </w:tcPr>
          <w:p w:rsidR="00F73609" w:rsidRDefault="00F73609">
            <w:pPr>
              <w:keepNext/>
              <w:spacing w:after="0" w:line="240" w:lineRule="auto"/>
              <w:jc w:val="center"/>
              <w:rPr>
                <w:rFonts w:eastAsia="Times New Roman" w:cs="Times New Roman"/>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Stockton</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Other</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0</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eastAsia="Times New Roman" w:cs="Times New Roman"/>
                <w:color w:val="000000" w:themeColor="text1"/>
                <w:sz w:val="18"/>
                <w:szCs w:val="18"/>
              </w:rPr>
            </w:pP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650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bottom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b/>
                <w:color w:val="000000"/>
                <w:sz w:val="18"/>
                <w:szCs w:val="18"/>
              </w:rPr>
            </w:pPr>
            <w:r w:rsidRPr="0094629C">
              <w:rPr>
                <w:rFonts w:eastAsia="Times New Roman" w:cs="Calibri"/>
                <w:b/>
                <w:color w:val="000000"/>
                <w:sz w:val="18"/>
                <w:szCs w:val="18"/>
              </w:rPr>
              <w:t>Total</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b/>
                <w:color w:val="000000" w:themeColor="text1"/>
                <w:sz w:val="18"/>
                <w:szCs w:val="18"/>
              </w:rPr>
            </w:pPr>
            <w:r w:rsidRPr="0094629C">
              <w:rPr>
                <w:b/>
                <w:color w:val="000000" w:themeColor="text1"/>
                <w:sz w:val="18"/>
                <w:szCs w:val="18"/>
              </w:rPr>
              <w:t>6</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Times New Roman"/>
                <w:b/>
                <w:color w:val="000000" w:themeColor="text1"/>
                <w:sz w:val="18"/>
                <w:szCs w:val="18"/>
              </w:rPr>
            </w:pPr>
            <w:r w:rsidRPr="0094629C">
              <w:rPr>
                <w:b/>
                <w:color w:val="000000" w:themeColor="text1"/>
                <w:sz w:val="18"/>
                <w:szCs w:val="18"/>
              </w:rPr>
              <w:t>2,575</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b/>
                <w:color w:val="000000" w:themeColor="text1"/>
                <w:sz w:val="18"/>
                <w:szCs w:val="18"/>
              </w:rPr>
            </w:pPr>
            <w:r w:rsidRPr="0094629C">
              <w:rPr>
                <w:b/>
                <w:color w:val="000000" w:themeColor="text1"/>
                <w:sz w:val="18"/>
                <w:szCs w:val="18"/>
              </w:rPr>
              <w:t>6</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b/>
                <w:color w:val="000000" w:themeColor="text1"/>
                <w:sz w:val="18"/>
                <w:szCs w:val="18"/>
              </w:rPr>
            </w:pPr>
            <w:r w:rsidRPr="0094629C">
              <w:rPr>
                <w:b/>
                <w:color w:val="000000" w:themeColor="text1"/>
                <w:sz w:val="18"/>
                <w:szCs w:val="18"/>
              </w:rPr>
              <w:t>2,400</w:t>
            </w:r>
          </w:p>
        </w:tc>
        <w:tc>
          <w:tcPr>
            <w:tcW w:w="854" w:type="dxa"/>
            <w:vMerge/>
            <w:tcBorders>
              <w:left w:val="nil"/>
              <w:bottom w:val="single" w:sz="4" w:space="0" w:color="auto"/>
              <w:right w:val="single" w:sz="4" w:space="0" w:color="auto"/>
            </w:tcBorders>
            <w:vAlign w:val="center"/>
          </w:tcPr>
          <w:p w:rsidR="00F73609" w:rsidRDefault="00F73609">
            <w:pPr>
              <w:keepNext/>
              <w:spacing w:after="0" w:line="240" w:lineRule="auto"/>
              <w:jc w:val="center"/>
              <w:rPr>
                <w:b/>
                <w:color w:val="000000" w:themeColor="text1"/>
                <w:sz w:val="18"/>
                <w:szCs w:val="18"/>
              </w:rPr>
            </w:pPr>
          </w:p>
        </w:tc>
      </w:tr>
      <w:tr w:rsidR="006A7D5C" w:rsidRPr="00644341" w:rsidTr="00806233">
        <w:trPr>
          <w:trHeight w:val="300"/>
          <w:jc w:val="center"/>
        </w:trPr>
        <w:tc>
          <w:tcPr>
            <w:tcW w:w="960" w:type="dxa"/>
            <w:vMerge w:val="restart"/>
            <w:tcBorders>
              <w:top w:val="nil"/>
              <w:left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SCE</w:t>
            </w: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LA Basin</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1,150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1,150</w:t>
            </w:r>
          </w:p>
        </w:tc>
        <w:tc>
          <w:tcPr>
            <w:tcW w:w="854" w:type="dxa"/>
            <w:vMerge w:val="restart"/>
            <w:tcBorders>
              <w:top w:val="nil"/>
              <w:left w:val="nil"/>
              <w:right w:val="single" w:sz="4" w:space="0" w:color="auto"/>
            </w:tcBorders>
            <w:vAlign w:val="center"/>
          </w:tcPr>
          <w:p w:rsidR="00F73609" w:rsidRDefault="0094629C">
            <w:pPr>
              <w:keepNext/>
              <w:spacing w:after="0" w:line="240" w:lineRule="auto"/>
              <w:jc w:val="center"/>
              <w:rPr>
                <w:color w:val="000000" w:themeColor="text1"/>
                <w:sz w:val="18"/>
                <w:szCs w:val="18"/>
              </w:rPr>
            </w:pPr>
            <w:r w:rsidRPr="0094629C">
              <w:rPr>
                <w:b/>
                <w:color w:val="000000" w:themeColor="text1"/>
                <w:sz w:val="18"/>
                <w:szCs w:val="18"/>
              </w:rPr>
              <w:t>38</w:t>
            </w: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Outside LA Basin</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700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1</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700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color w:val="000000"/>
                <w:sz w:val="18"/>
                <w:szCs w:val="18"/>
              </w:rPr>
            </w:pPr>
            <w:r w:rsidRPr="0094629C">
              <w:rPr>
                <w:rFonts w:eastAsia="Times New Roman" w:cs="Calibri"/>
                <w:color w:val="000000"/>
                <w:sz w:val="18"/>
                <w:szCs w:val="18"/>
              </w:rPr>
              <w:t>Ventura</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900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cs="Calibri"/>
                <w:color w:val="000000" w:themeColor="text1"/>
                <w:sz w:val="18"/>
                <w:szCs w:val="18"/>
              </w:rPr>
            </w:pPr>
            <w:r w:rsidRPr="0094629C">
              <w:rPr>
                <w:color w:val="000000" w:themeColor="text1"/>
                <w:sz w:val="18"/>
                <w:szCs w:val="18"/>
              </w:rPr>
              <w:t>900</w:t>
            </w:r>
          </w:p>
        </w:tc>
        <w:tc>
          <w:tcPr>
            <w:tcW w:w="854" w:type="dxa"/>
            <w:vMerge/>
            <w:tcBorders>
              <w:left w:val="nil"/>
              <w:right w:val="single" w:sz="4" w:space="0" w:color="auto"/>
            </w:tcBorders>
            <w:vAlign w:val="center"/>
          </w:tcPr>
          <w:p w:rsidR="00F73609" w:rsidRDefault="00F73609">
            <w:pPr>
              <w:keepNext/>
              <w:spacing w:after="0" w:line="240" w:lineRule="auto"/>
              <w:jc w:val="center"/>
              <w:rPr>
                <w:color w:val="000000" w:themeColor="text1"/>
                <w:sz w:val="18"/>
                <w:szCs w:val="18"/>
              </w:rPr>
            </w:pPr>
          </w:p>
        </w:tc>
      </w:tr>
      <w:tr w:rsidR="006A7D5C" w:rsidRPr="00644341" w:rsidTr="00806233">
        <w:trPr>
          <w:trHeight w:val="300"/>
          <w:jc w:val="center"/>
        </w:trPr>
        <w:tc>
          <w:tcPr>
            <w:tcW w:w="960" w:type="dxa"/>
            <w:vMerge/>
            <w:tcBorders>
              <w:left w:val="single" w:sz="4" w:space="0" w:color="auto"/>
              <w:bottom w:val="single" w:sz="4" w:space="0" w:color="auto"/>
              <w:right w:val="single" w:sz="4" w:space="0" w:color="auto"/>
            </w:tcBorders>
            <w:vAlign w:val="center"/>
            <w:hideMark/>
          </w:tcPr>
          <w:p w:rsidR="00F73609" w:rsidRDefault="00F73609">
            <w:pPr>
              <w:keepNext/>
              <w:spacing w:after="0" w:line="240" w:lineRule="auto"/>
              <w:jc w:val="center"/>
              <w:rPr>
                <w:rFonts w:eastAsia="Times New Roman" w:cs="Calibri"/>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eastAsia="Times New Roman" w:cs="Calibri"/>
                <w:b/>
                <w:color w:val="000000"/>
                <w:sz w:val="18"/>
                <w:szCs w:val="18"/>
              </w:rPr>
            </w:pPr>
            <w:r w:rsidRPr="0094629C">
              <w:rPr>
                <w:rFonts w:eastAsia="Times New Roman" w:cs="Calibri"/>
                <w:b/>
                <w:color w:val="000000"/>
                <w:sz w:val="18"/>
                <w:szCs w:val="18"/>
              </w:rPr>
              <w:t>Total</w:t>
            </w:r>
          </w:p>
        </w:tc>
        <w:tc>
          <w:tcPr>
            <w:tcW w:w="1113" w:type="dxa"/>
            <w:tcBorders>
              <w:top w:val="nil"/>
              <w:left w:val="nil"/>
              <w:bottom w:val="single" w:sz="4" w:space="0" w:color="auto"/>
              <w:right w:val="single" w:sz="4" w:space="0" w:color="auto"/>
            </w:tcBorders>
            <w:shd w:val="clear" w:color="auto" w:fill="auto"/>
            <w:noWrap/>
            <w:vAlign w:val="center"/>
            <w:hideMark/>
          </w:tcPr>
          <w:p w:rsidR="006A7D5C" w:rsidRPr="00806233" w:rsidRDefault="0094629C" w:rsidP="00806233">
            <w:pPr>
              <w:keepNext/>
              <w:spacing w:after="0" w:line="240" w:lineRule="auto"/>
              <w:jc w:val="center"/>
              <w:rPr>
                <w:b/>
                <w:color w:val="000000" w:themeColor="text1"/>
                <w:sz w:val="18"/>
                <w:szCs w:val="18"/>
              </w:rPr>
            </w:pPr>
            <w:r w:rsidRPr="0094629C">
              <w:rPr>
                <w:b/>
                <w:color w:val="000000" w:themeColor="text1"/>
                <w:sz w:val="18"/>
                <w:szCs w:val="18"/>
              </w:rPr>
              <w:t>5</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b/>
                <w:color w:val="000000" w:themeColor="text1"/>
                <w:sz w:val="18"/>
                <w:szCs w:val="18"/>
              </w:rPr>
            </w:pPr>
            <w:r w:rsidRPr="0094629C">
              <w:rPr>
                <w:b/>
                <w:color w:val="000000" w:themeColor="text1"/>
                <w:sz w:val="18"/>
                <w:szCs w:val="18"/>
              </w:rPr>
              <w:t>2,750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b/>
                <w:color w:val="000000" w:themeColor="text1"/>
                <w:sz w:val="18"/>
                <w:szCs w:val="18"/>
              </w:rPr>
            </w:pPr>
            <w:r w:rsidRPr="0094629C">
              <w:rPr>
                <w:b/>
                <w:color w:val="000000" w:themeColor="text1"/>
                <w:sz w:val="18"/>
                <w:szCs w:val="18"/>
              </w:rPr>
              <w:t>5</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b/>
                <w:color w:val="000000" w:themeColor="text1"/>
                <w:sz w:val="18"/>
                <w:szCs w:val="18"/>
              </w:rPr>
            </w:pPr>
            <w:r w:rsidRPr="0094629C">
              <w:rPr>
                <w:b/>
                <w:color w:val="000000" w:themeColor="text1"/>
                <w:sz w:val="18"/>
                <w:szCs w:val="18"/>
              </w:rPr>
              <w:t>2,750</w:t>
            </w:r>
          </w:p>
        </w:tc>
        <w:tc>
          <w:tcPr>
            <w:tcW w:w="854" w:type="dxa"/>
            <w:vMerge/>
            <w:tcBorders>
              <w:left w:val="nil"/>
              <w:bottom w:val="single" w:sz="4" w:space="0" w:color="auto"/>
              <w:right w:val="single" w:sz="4" w:space="0" w:color="auto"/>
            </w:tcBorders>
            <w:vAlign w:val="center"/>
          </w:tcPr>
          <w:p w:rsidR="00F73609" w:rsidRDefault="00F73609">
            <w:pPr>
              <w:keepNext/>
              <w:spacing w:after="0" w:line="240" w:lineRule="auto"/>
              <w:jc w:val="center"/>
              <w:rPr>
                <w:b/>
                <w:color w:val="000000" w:themeColor="text1"/>
                <w:sz w:val="18"/>
                <w:szCs w:val="18"/>
              </w:rPr>
            </w:pPr>
          </w:p>
        </w:tc>
      </w:tr>
      <w:tr w:rsidR="006A7D5C" w:rsidTr="00806233">
        <w:trPr>
          <w:trHeight w:val="300"/>
          <w:jc w:val="center"/>
        </w:trPr>
        <w:tc>
          <w:tcPr>
            <w:tcW w:w="28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7D5C" w:rsidRPr="00806233" w:rsidRDefault="0094629C" w:rsidP="00806233">
            <w:pPr>
              <w:spacing w:after="0" w:line="240" w:lineRule="auto"/>
              <w:jc w:val="center"/>
              <w:rPr>
                <w:rFonts w:eastAsia="Times New Roman" w:cs="Calibri"/>
                <w:color w:val="000000"/>
                <w:sz w:val="18"/>
                <w:szCs w:val="18"/>
              </w:rPr>
            </w:pPr>
            <w:r w:rsidRPr="0094629C">
              <w:rPr>
                <w:rFonts w:eastAsia="Times New Roman" w:cs="Calibri"/>
                <w:color w:val="000000"/>
                <w:sz w:val="18"/>
                <w:szCs w:val="18"/>
              </w:rPr>
              <w:t>SDG&amp;E</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cs="Calibri"/>
                <w:b/>
                <w:color w:val="000000" w:themeColor="text1"/>
                <w:sz w:val="18"/>
                <w:szCs w:val="18"/>
              </w:rPr>
            </w:pPr>
            <w:r w:rsidRPr="0094629C">
              <w:rPr>
                <w:b/>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cs="Calibri"/>
                <w:b/>
                <w:color w:val="000000" w:themeColor="text1"/>
                <w:sz w:val="18"/>
                <w:szCs w:val="18"/>
              </w:rPr>
            </w:pPr>
            <w:r w:rsidRPr="0094629C">
              <w:rPr>
                <w:b/>
                <w:color w:val="000000" w:themeColor="text1"/>
                <w:sz w:val="18"/>
                <w:szCs w:val="18"/>
              </w:rPr>
              <w:t>800</w:t>
            </w:r>
          </w:p>
        </w:tc>
        <w:tc>
          <w:tcPr>
            <w:tcW w:w="1113" w:type="dxa"/>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cs="Calibri"/>
                <w:b/>
                <w:color w:val="000000" w:themeColor="text1"/>
                <w:sz w:val="18"/>
                <w:szCs w:val="18"/>
              </w:rPr>
            </w:pPr>
            <w:r w:rsidRPr="0094629C">
              <w:rPr>
                <w:b/>
                <w:color w:val="000000" w:themeColor="text1"/>
                <w:sz w:val="18"/>
                <w:szCs w:val="18"/>
              </w:rPr>
              <w:t>2</w:t>
            </w:r>
          </w:p>
        </w:tc>
        <w:tc>
          <w:tcPr>
            <w:tcW w:w="807" w:type="dxa"/>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cs="Calibri"/>
                <w:b/>
                <w:color w:val="000000" w:themeColor="text1"/>
                <w:sz w:val="18"/>
                <w:szCs w:val="18"/>
              </w:rPr>
            </w:pPr>
            <w:r w:rsidRPr="0094629C">
              <w:rPr>
                <w:rFonts w:cs="Calibri"/>
                <w:b/>
                <w:color w:val="000000" w:themeColor="text1"/>
                <w:sz w:val="18"/>
                <w:szCs w:val="18"/>
              </w:rPr>
              <w:t>800</w:t>
            </w:r>
          </w:p>
        </w:tc>
        <w:tc>
          <w:tcPr>
            <w:tcW w:w="854" w:type="dxa"/>
            <w:tcBorders>
              <w:top w:val="nil"/>
              <w:left w:val="nil"/>
              <w:bottom w:val="single" w:sz="4" w:space="0" w:color="auto"/>
              <w:right w:val="single" w:sz="4" w:space="0" w:color="auto"/>
            </w:tcBorders>
            <w:vAlign w:val="center"/>
          </w:tcPr>
          <w:p w:rsidR="00F73609" w:rsidRDefault="0094629C">
            <w:pPr>
              <w:spacing w:after="0" w:line="240" w:lineRule="auto"/>
              <w:jc w:val="center"/>
              <w:rPr>
                <w:rFonts w:cs="Calibri"/>
                <w:b/>
                <w:color w:val="000000" w:themeColor="text1"/>
                <w:sz w:val="18"/>
                <w:szCs w:val="18"/>
              </w:rPr>
            </w:pPr>
            <w:r w:rsidRPr="0094629C">
              <w:rPr>
                <w:rFonts w:cs="Calibri"/>
                <w:b/>
                <w:color w:val="000000" w:themeColor="text1"/>
                <w:sz w:val="18"/>
                <w:szCs w:val="18"/>
              </w:rPr>
              <w:t>34</w:t>
            </w:r>
          </w:p>
        </w:tc>
      </w:tr>
    </w:tbl>
    <w:p w:rsidR="009C23F2" w:rsidRDefault="008A188B" w:rsidP="006A7D5C">
      <w:pPr>
        <w:pStyle w:val="BodyParaAfterTableFigure"/>
      </w:pPr>
      <w:r>
        <w:t>In order to produce ex ante impact estimates th</w:t>
      </w:r>
      <w:r w:rsidR="00795D4F">
        <w:t>at</w:t>
      </w:r>
      <w:r>
        <w:t xml:space="preserve"> conform to the CPUC protocols, we must develop estimates that are consistent with the values in Table 2-1 and that provide forecasts for each of </w:t>
      </w:r>
      <w:r w:rsidR="009C23F2">
        <w:t>several</w:t>
      </w:r>
      <w:r>
        <w:t xml:space="preserve"> ex ante weather conditions for each </w:t>
      </w:r>
      <w:r w:rsidR="00D877D7">
        <w:t>LCA at each utility.</w:t>
      </w:r>
      <w:r w:rsidR="00D640AA">
        <w:rPr>
          <w:rStyle w:val="FootnoteReference"/>
        </w:rPr>
        <w:footnoteReference w:id="7"/>
      </w:r>
      <w:r w:rsidR="00D877D7">
        <w:t xml:space="preserve">  To do this, we must find a way to translate the demand shift values in the table to demand shift values that would occur under different weather conditions.  </w:t>
      </w:r>
    </w:p>
    <w:p w:rsidR="009C23F2" w:rsidRDefault="00D877D7" w:rsidP="009C23F2">
      <w:pPr>
        <w:pStyle w:val="BodyParagraph"/>
      </w:pPr>
      <w:r>
        <w:t xml:space="preserve">As a first step, we must know what the weather conditions were that were associated with the demand </w:t>
      </w:r>
      <w:r w:rsidR="009C23F2">
        <w:t xml:space="preserve">shift values in the table.  The </w:t>
      </w:r>
      <w:r>
        <w:t xml:space="preserve">values </w:t>
      </w:r>
      <w:r w:rsidR="009C23F2">
        <w:t xml:space="preserve">in the table </w:t>
      </w:r>
      <w:r>
        <w:t>are forecasts of the amount of demand shifting that each utility expects to pay incentives for.  This means that these are expected output from the model used in the engineering feasibility study for each site.  Although we do not know with certainty what conditions the engineers performing the study will use to represent peak yearly conditions, based on discussions with PLS program managers and knowledgeable staff, we expect the engineers to use ASHRAE 2% weather conditions for the relevant geography of each site.  These conditions are available in the ASHRAE Handbook</w:t>
      </w:r>
      <w:r>
        <w:rPr>
          <w:rStyle w:val="FootnoteReference"/>
        </w:rPr>
        <w:footnoteReference w:id="8"/>
      </w:r>
      <w:r>
        <w:t xml:space="preserve"> and they are the conditions we assume underlie the values in Table 2-1.</w:t>
      </w:r>
      <w:r w:rsidR="0042496A">
        <w:t xml:space="preserve">  </w:t>
      </w:r>
    </w:p>
    <w:p w:rsidR="00D877D7" w:rsidRDefault="0042496A" w:rsidP="009C23F2">
      <w:pPr>
        <w:pStyle w:val="BodyParagraph"/>
      </w:pPr>
      <w:r>
        <w:t xml:space="preserve">One detail to note is that the ASHRAE conditions are not specified as 24-hour temperature profiles in the way that ex ante weather conditions are.  Instead they are specified as a temperature threshold that would be expected to be exceeded in </w:t>
      </w:r>
      <w:r w:rsidR="009C23F2">
        <w:t xml:space="preserve">no more than </w:t>
      </w:r>
      <w:r>
        <w:t xml:space="preserve">2% of hours in a given month.  </w:t>
      </w:r>
      <w:r w:rsidR="00162887">
        <w:t xml:space="preserve">They do not correspond to any particular hours of the day.  </w:t>
      </w:r>
      <w:r w:rsidR="00A51BA8">
        <w:t>We therefore make the following assumption about how feasibility study engineers will calculate peak shift values for incentive payments:  they will choose</w:t>
      </w:r>
      <w:r>
        <w:t xml:space="preserve"> the hottest month </w:t>
      </w:r>
      <w:r w:rsidR="009C23F2">
        <w:t xml:space="preserve">among the ASHRAE conditions </w:t>
      </w:r>
      <w:r w:rsidR="00A51BA8">
        <w:t>for the relevant geography and then assume</w:t>
      </w:r>
      <w:r>
        <w:t xml:space="preserve"> that the </w:t>
      </w:r>
      <w:r w:rsidR="000B4C13">
        <w:t xml:space="preserve">2% conditions represent the average temperature during the </w:t>
      </w:r>
      <w:r w:rsidR="004E6F1A">
        <w:t>period 1-6 PM</w:t>
      </w:r>
      <w:r w:rsidR="000B4C13">
        <w:t xml:space="preserve"> of </w:t>
      </w:r>
      <w:r w:rsidR="00A51BA8">
        <w:t>the peak</w:t>
      </w:r>
      <w:r w:rsidR="000B4C13">
        <w:t xml:space="preserve"> day </w:t>
      </w:r>
      <w:r w:rsidR="004E6F1A">
        <w:t>which</w:t>
      </w:r>
      <w:r w:rsidR="00A51BA8">
        <w:t xml:space="preserve"> is then used to simulate cooling load. </w:t>
      </w:r>
    </w:p>
    <w:p w:rsidR="0042496A" w:rsidRDefault="00D877D7" w:rsidP="00A51BA8">
      <w:pPr>
        <w:pStyle w:val="BodyParagraph"/>
      </w:pPr>
      <w:r>
        <w:t xml:space="preserve">The next step is to find peak shift values for ex ante weather conditions that are consistent with those in Table 2-1 for ASHRAE 2% weather conditions.  </w:t>
      </w:r>
      <w:r w:rsidR="0042496A">
        <w:t>We begin with the assumption that the shifted load in Table 2-1 represents the full chiller load of all sites</w:t>
      </w:r>
      <w:r w:rsidR="004E6F1A">
        <w:t xml:space="preserve"> under ASHRAE 2% conditions</w:t>
      </w:r>
      <w:r w:rsidR="0042496A">
        <w:t xml:space="preserve">.  An alternative possibility would be that the system is designed to shift only part of the chiller load under peak conditions.  </w:t>
      </w:r>
      <w:r w:rsidR="00162887">
        <w:t xml:space="preserve">This distinction is referred to as full versus partial storage.  </w:t>
      </w:r>
      <w:r w:rsidR="0042496A">
        <w:t xml:space="preserve">If </w:t>
      </w:r>
      <w:r w:rsidR="00162887">
        <w:t xml:space="preserve">the partial storage </w:t>
      </w:r>
      <w:r w:rsidR="004E6F1A">
        <w:t xml:space="preserve">alternative </w:t>
      </w:r>
      <w:r w:rsidR="0042496A">
        <w:t xml:space="preserve">were true for some sites, then our ex ante impact estimates for </w:t>
      </w:r>
      <w:r w:rsidR="004E6F1A">
        <w:t>cooler</w:t>
      </w:r>
      <w:r w:rsidR="0042496A">
        <w:t xml:space="preserve"> weather conditions</w:t>
      </w:r>
      <w:r w:rsidR="004E6F1A">
        <w:t xml:space="preserve"> might be </w:t>
      </w:r>
      <w:r w:rsidR="00A51BA8">
        <w:t>under</w:t>
      </w:r>
      <w:r w:rsidR="004E6F1A">
        <w:t xml:space="preserve">stated because under our assumption, load shift automatically falls </w:t>
      </w:r>
      <w:r w:rsidR="00162887">
        <w:t>as temperature decreases</w:t>
      </w:r>
      <w:r w:rsidR="004E6F1A">
        <w:t xml:space="preserve">.  Under </w:t>
      </w:r>
      <w:r w:rsidR="00162887">
        <w:t>partial storage</w:t>
      </w:r>
      <w:r w:rsidR="004E6F1A">
        <w:t>, the load shift might be constant over some range of ex ante weather conditions</w:t>
      </w:r>
      <w:r w:rsidR="006A7D5C" w:rsidRPr="006A7D5C">
        <w:t xml:space="preserve"> </w:t>
      </w:r>
      <w:r w:rsidR="006A7D5C">
        <w:t>at the hotter end of the conditions</w:t>
      </w:r>
      <w:r w:rsidR="004E6F1A">
        <w:t xml:space="preserve">.  Because we begin with the designed peak shift as our main input, and because the designed peak shift takes place under conditions similar to the hottest ex ante conditions, our assumption is unlikely to have </w:t>
      </w:r>
      <w:r w:rsidR="006A7D5C">
        <w:t>a</w:t>
      </w:r>
      <w:r w:rsidR="004E6F1A">
        <w:t xml:space="preserve"> significant effect on the accuracy of load impact estimates under the hottest weather conditions.  </w:t>
      </w:r>
      <w:r w:rsidR="00B37D90">
        <w:t xml:space="preserve">Additionally, to the degree that it is inaccurate for cooler conditions, it will tend to understate load impacts under those conditions.  </w:t>
      </w:r>
      <w:r w:rsidR="004E6F1A">
        <w:t xml:space="preserve">With this assumption in place, we focus on determining </w:t>
      </w:r>
      <w:r w:rsidR="00B37D90">
        <w:t>chiller</w:t>
      </w:r>
      <w:r w:rsidR="004E6F1A">
        <w:t xml:space="preserve"> load in a building without worrying about the possibility that not all of it will be shifted.</w:t>
      </w:r>
    </w:p>
    <w:p w:rsidR="00955FCE" w:rsidRDefault="00D877D7" w:rsidP="00A51BA8">
      <w:pPr>
        <w:pStyle w:val="BodyParagraph"/>
      </w:pPr>
      <w:r>
        <w:t xml:space="preserve">To </w:t>
      </w:r>
      <w:r w:rsidR="00D86ACE">
        <w:t>find cooling load values for ex ante weather conditions that are consistent with those in Table 2-1 for ASHRAE 2% weather conditions</w:t>
      </w:r>
      <w:r>
        <w:t>, we use Lawrence Berkeley Lab’s Demand Response Quick Assessment Tool (DRQAT) interface with EnergyPlus building simulation software.  This software allows us to predict total building cooling load</w:t>
      </w:r>
      <w:r w:rsidR="00B37D90">
        <w:t xml:space="preserve"> for a chilled water system</w:t>
      </w:r>
      <w:r w:rsidR="0042496A">
        <w:t xml:space="preserve"> (including both chiller and fan)</w:t>
      </w:r>
      <w:r>
        <w:t xml:space="preserve"> based on specified weather conditions, building size, number of stories, orientation (North, </w:t>
      </w:r>
      <w:r w:rsidR="00B37D90">
        <w:t>South, etc.), number of windows</w:t>
      </w:r>
      <w:r>
        <w:t xml:space="preserve"> and location.  </w:t>
      </w:r>
      <w:r w:rsidR="0042496A">
        <w:t xml:space="preserve">Although we know all the relevant weather conditions that we wish to estimate loads for, </w:t>
      </w:r>
      <w:r w:rsidR="00D86ACE">
        <w:t xml:space="preserve">we do not know the building characteristics because it is not known which customers will enroll.  </w:t>
      </w:r>
    </w:p>
    <w:p w:rsidR="00B37D90" w:rsidRDefault="00D86ACE" w:rsidP="00B37D90">
      <w:pPr>
        <w:pStyle w:val="BodyParagraph"/>
      </w:pPr>
      <w:r>
        <w:t xml:space="preserve">However, we can demonstrate that </w:t>
      </w:r>
      <w:r w:rsidR="00955FCE">
        <w:t>not knowing building characteristics</w:t>
      </w:r>
      <w:r>
        <w:t xml:space="preserve"> does not affect </w:t>
      </w:r>
      <w:r w:rsidR="006A7D5C">
        <w:t>the accuracy of our load impact</w:t>
      </w:r>
      <w:r>
        <w:t xml:space="preserve"> estimates by noting that we use the designed peak shift values as our main anchor for load impacts</w:t>
      </w:r>
      <w:r w:rsidR="00795D4F">
        <w:t>. We</w:t>
      </w:r>
      <w:r>
        <w:t xml:space="preserve"> only use the simulation software to determine what the ratios are between the cooling load under ASHRAE 2% conditions and under the ex ante weather conditions for a given building.  </w:t>
      </w:r>
      <w:r w:rsidR="00B37D90">
        <w:t>At no point in our analysis do we directly use the simulation software to estimate the overall level of demand shifting at a given site.  Those values are assumed in our enrollment forecast.  The simulation software is only used to answer questions such as “if I have a site that provides 100 kW of shifting under ASHRAE 2% conditions, then how much does the same site provide under July 1-in-2 conditions?”</w:t>
      </w:r>
    </w:p>
    <w:p w:rsidR="00955FCE" w:rsidRDefault="00955FCE" w:rsidP="00B37D90">
      <w:pPr>
        <w:pStyle w:val="BodyParagraph"/>
      </w:pPr>
      <w:r>
        <w:t>Ideally, we would understand exactly how the building simulation software did its calculations and use that to directly determine whether it is important to understand building characteristics, given that we are only using the tool to determine relative usage values under different conditions.  That is not currently a possibility.</w:t>
      </w:r>
    </w:p>
    <w:p w:rsidR="007F247C" w:rsidRPr="007F247C" w:rsidRDefault="00955FCE" w:rsidP="00B37D90">
      <w:pPr>
        <w:pStyle w:val="BodyParagraph"/>
        <w:sectPr w:rsidR="007F247C" w:rsidRPr="007F247C" w:rsidSect="00C623D7">
          <w:pgSz w:w="12240" w:h="15840"/>
          <w:pgMar w:top="1440" w:right="1440" w:bottom="1440" w:left="1440" w:header="720" w:footer="720" w:gutter="0"/>
          <w:pgNumType w:start="1"/>
          <w:cols w:space="720"/>
          <w:docGrid w:linePitch="360"/>
        </w:sectPr>
      </w:pPr>
      <w:r>
        <w:t>Nonetheless, w</w:t>
      </w:r>
      <w:r w:rsidR="00D86ACE">
        <w:t xml:space="preserve">e provide evidence in Table 2-2 that </w:t>
      </w:r>
      <w:r>
        <w:t>relative usage values across different weather conditions</w:t>
      </w:r>
      <w:r w:rsidR="00D86ACE">
        <w:t xml:space="preserve"> are basically insensitive to building characteristics.</w:t>
      </w:r>
      <w:r w:rsidR="000420B3">
        <w:t xml:space="preserve">  The table shows the ratio </w:t>
      </w:r>
      <w:r w:rsidR="00B37D90">
        <w:t>of</w:t>
      </w:r>
      <w:r w:rsidR="000420B3">
        <w:t xml:space="preserve"> average </w:t>
      </w:r>
      <w:r w:rsidR="00B37D90">
        <w:t>chiller load</w:t>
      </w:r>
      <w:r w:rsidR="000420B3">
        <w:t xml:space="preserve"> from 1-6 PM between the indicated temperature profile and August 1-in-10 peak conditions for a variety of building characteristics (which are provided in more detail in Table 2-3).  The point of the table is that the ratio for a given ex ante condition set hardly changes as the building characteristics vary substantially.  For example, the ratio of the average </w:t>
      </w:r>
      <w:r w:rsidR="00B37D90">
        <w:t>chiller load</w:t>
      </w:r>
      <w:r w:rsidR="000420B3">
        <w:t xml:space="preserve"> under September 1-in-10 conditions to the average </w:t>
      </w:r>
      <w:r w:rsidR="00B37D90">
        <w:t>chiller load</w:t>
      </w:r>
      <w:r w:rsidR="000420B3">
        <w:t xml:space="preserve"> under August 1-in-10 conditions only varies from 0.89 to 0.91 whether the building is half its original size</w:t>
      </w:r>
      <w:r>
        <w:t xml:space="preserve"> or</w:t>
      </w:r>
      <w:r w:rsidR="000420B3">
        <w:t xml:space="preserve"> twice its original size, w</w:t>
      </w:r>
      <w:r>
        <w:t>hether it has its original window to wall ratio or twice that ratio, or whether it has one story or four stories.  This suggests that relative usage levels in the tool are determined primarily by temperature conditions, with the building characteristics driving the overall level of usage.  There is only one major deviation from this pattern, under May 1-in-2 conditions, where the values vary from 0.82 to 0.70.  Given the uncertainty associated with the other inputs into our estimates, this small inconsistency seems minor.</w:t>
      </w:r>
      <w:r w:rsidR="007F247C">
        <w:t xml:space="preserve">  </w:t>
      </w:r>
    </w:p>
    <w:p w:rsidR="002127F7" w:rsidRPr="00D5138E" w:rsidRDefault="00D5138E" w:rsidP="00D5138E">
      <w:pPr>
        <w:pStyle w:val="BodyParagraph"/>
        <w:jc w:val="center"/>
        <w:rPr>
          <w:b/>
        </w:rPr>
      </w:pPr>
      <w:r w:rsidRPr="00D5138E">
        <w:rPr>
          <w:b/>
        </w:rPr>
        <w:t>Table 2-</w:t>
      </w:r>
      <w:r w:rsidR="0074703C">
        <w:rPr>
          <w:b/>
        </w:rPr>
        <w:t>2:</w:t>
      </w:r>
      <w:r w:rsidRPr="00D5138E">
        <w:rPr>
          <w:b/>
        </w:rPr>
        <w:t xml:space="preserve"> Peak Period Ratios for </w:t>
      </w:r>
      <w:proofErr w:type="gramStart"/>
      <w:r w:rsidRPr="00D5138E">
        <w:rPr>
          <w:b/>
        </w:rPr>
        <w:t>A</w:t>
      </w:r>
      <w:proofErr w:type="gramEnd"/>
      <w:r w:rsidRPr="00D5138E">
        <w:rPr>
          <w:b/>
        </w:rPr>
        <w:t xml:space="preserve"> Variety of Building Characteristics Under Each Set of Ex Ante </w:t>
      </w:r>
      <w:r w:rsidR="00CA3238">
        <w:rPr>
          <w:b/>
        </w:rPr>
        <w:t xml:space="preserve">Peak </w:t>
      </w:r>
      <w:r w:rsidRPr="00D5138E">
        <w:rPr>
          <w:b/>
        </w:rPr>
        <w:t>Weather Conditions</w:t>
      </w:r>
    </w:p>
    <w:tbl>
      <w:tblPr>
        <w:tblW w:w="5061" w:type="pct"/>
        <w:jc w:val="center"/>
        <w:tblCellMar>
          <w:left w:w="0" w:type="dxa"/>
          <w:right w:w="0" w:type="dxa"/>
        </w:tblCellMar>
        <w:tblLook w:val="04A0"/>
      </w:tblPr>
      <w:tblGrid>
        <w:gridCol w:w="1593"/>
        <w:gridCol w:w="934"/>
        <w:gridCol w:w="869"/>
        <w:gridCol w:w="869"/>
        <w:gridCol w:w="869"/>
        <w:gridCol w:w="874"/>
        <w:gridCol w:w="874"/>
        <w:gridCol w:w="1133"/>
        <w:gridCol w:w="746"/>
        <w:gridCol w:w="874"/>
        <w:gridCol w:w="874"/>
        <w:gridCol w:w="874"/>
        <w:gridCol w:w="874"/>
        <w:gridCol w:w="1173"/>
      </w:tblGrid>
      <w:tr w:rsidR="00D5138E" w:rsidRPr="00D5138E" w:rsidTr="00D5138E">
        <w:trPr>
          <w:trHeight w:val="600"/>
          <w:jc w:val="center"/>
        </w:trPr>
        <w:tc>
          <w:tcPr>
            <w:tcW w:w="596" w:type="pct"/>
            <w:tcBorders>
              <w:top w:val="single" w:sz="8" w:space="0" w:color="auto"/>
              <w:left w:val="single" w:sz="8" w:space="0" w:color="auto"/>
              <w:bottom w:val="single" w:sz="8" w:space="0" w:color="auto"/>
              <w:right w:val="single" w:sz="8" w:space="0" w:color="FFFBF0"/>
            </w:tcBorders>
            <w:shd w:val="clear" w:color="auto" w:fill="1F497D"/>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p>
        </w:tc>
        <w:tc>
          <w:tcPr>
            <w:tcW w:w="325"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Baseline</w:t>
            </w:r>
            <w:r w:rsidR="000420B3">
              <w:rPr>
                <w:b/>
                <w:bCs/>
                <w:color w:val="FFFBF0"/>
                <w:sz w:val="18"/>
                <w:szCs w:val="18"/>
              </w:rPr>
              <w:t>*</w:t>
            </w:r>
          </w:p>
        </w:tc>
        <w:tc>
          <w:tcPr>
            <w:tcW w:w="325"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Typical</w:t>
            </w:r>
          </w:p>
        </w:tc>
        <w:tc>
          <w:tcPr>
            <w:tcW w:w="325"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May</w:t>
            </w:r>
          </w:p>
        </w:tc>
        <w:tc>
          <w:tcPr>
            <w:tcW w:w="325"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June</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July</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August</w:t>
            </w:r>
          </w:p>
        </w:tc>
        <w:tc>
          <w:tcPr>
            <w:tcW w:w="424"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2 September</w:t>
            </w:r>
          </w:p>
        </w:tc>
        <w:tc>
          <w:tcPr>
            <w:tcW w:w="279"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Typical</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May</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June</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July</w:t>
            </w:r>
          </w:p>
        </w:tc>
        <w:tc>
          <w:tcPr>
            <w:tcW w:w="327" w:type="pct"/>
            <w:tcBorders>
              <w:top w:val="single" w:sz="8" w:space="0" w:color="auto"/>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August</w:t>
            </w:r>
          </w:p>
        </w:tc>
        <w:tc>
          <w:tcPr>
            <w:tcW w:w="441" w:type="pct"/>
            <w:tcBorders>
              <w:top w:val="single" w:sz="8" w:space="0" w:color="auto"/>
              <w:left w:val="nil"/>
              <w:bottom w:val="single" w:sz="8" w:space="0" w:color="auto"/>
              <w:right w:val="single" w:sz="8" w:space="0" w:color="auto"/>
            </w:tcBorders>
            <w:shd w:val="clear" w:color="auto" w:fill="1F497D"/>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FFFBF0"/>
                <w:sz w:val="18"/>
                <w:szCs w:val="18"/>
              </w:rPr>
            </w:pPr>
            <w:r w:rsidRPr="00D5138E">
              <w:rPr>
                <w:b/>
                <w:bCs/>
                <w:color w:val="FFFBF0"/>
                <w:sz w:val="18"/>
                <w:szCs w:val="18"/>
              </w:rPr>
              <w:t>1 in 10 September</w:t>
            </w:r>
          </w:p>
        </w:tc>
      </w:tr>
      <w:tr w:rsidR="00D5138E" w:rsidRPr="00D5138E" w:rsidTr="00D5138E">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b/>
                <w:bCs/>
                <w:color w:val="000000"/>
                <w:sz w:val="18"/>
                <w:szCs w:val="18"/>
              </w:rPr>
            </w:pPr>
            <w:r w:rsidRPr="00D5138E">
              <w:rPr>
                <w:b/>
                <w:bCs/>
                <w:color w:val="000000"/>
                <w:sz w:val="18"/>
                <w:szCs w:val="18"/>
              </w:rPr>
              <w:t>Original Building</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0.46</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0.93</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0.90</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1.02</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0.90</w:t>
            </w:r>
          </w:p>
        </w:tc>
      </w:tr>
      <w:tr w:rsidR="00D5138E" w:rsidRPr="00D5138E" w:rsidTr="00D5138E">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b/>
                <w:bCs/>
                <w:color w:val="000000"/>
                <w:sz w:val="18"/>
                <w:szCs w:val="18"/>
              </w:rPr>
            </w:pPr>
            <w:r w:rsidRPr="00D5138E">
              <w:rPr>
                <w:b/>
                <w:bCs/>
                <w:color w:val="000000"/>
                <w:sz w:val="18"/>
                <w:szCs w:val="18"/>
              </w:rPr>
              <w:t>Twice the Size</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0.48</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0.91</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0.95</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0.95</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0.91</w:t>
            </w:r>
          </w:p>
        </w:tc>
      </w:tr>
      <w:tr w:rsidR="00D5138E" w:rsidRPr="00D5138E" w:rsidTr="00D5138E">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b/>
                <w:bCs/>
                <w:color w:val="000000"/>
                <w:sz w:val="18"/>
                <w:szCs w:val="18"/>
              </w:rPr>
            </w:pPr>
            <w:r w:rsidRPr="00D5138E">
              <w:rPr>
                <w:b/>
                <w:bCs/>
                <w:color w:val="000000"/>
                <w:sz w:val="18"/>
                <w:szCs w:val="18"/>
              </w:rPr>
              <w:t>Half the Size</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0.44</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0.93</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0.90</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0.90</w:t>
            </w:r>
          </w:p>
        </w:tc>
      </w:tr>
      <w:tr w:rsidR="00D5138E" w:rsidRPr="00D5138E" w:rsidTr="00D5138E">
        <w:trPr>
          <w:trHeight w:val="600"/>
          <w:jc w:val="center"/>
        </w:trPr>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b/>
                <w:bCs/>
                <w:color w:val="000000"/>
                <w:sz w:val="18"/>
                <w:szCs w:val="18"/>
              </w:rPr>
            </w:pPr>
            <w:r w:rsidRPr="00D5138E">
              <w:rPr>
                <w:b/>
                <w:bCs/>
                <w:color w:val="000000"/>
                <w:sz w:val="18"/>
                <w:szCs w:val="18"/>
              </w:rPr>
              <w:t>Four Floors</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0.46</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0.70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0.99</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0.91</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0.94</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0.89</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1.02</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D5138E" w:rsidRPr="00D5138E" w:rsidRDefault="00D5138E" w:rsidP="003500B3">
            <w:pPr>
              <w:spacing w:after="0" w:line="240" w:lineRule="auto"/>
              <w:jc w:val="center"/>
              <w:rPr>
                <w:rFonts w:ascii="Calibri" w:hAnsi="Calibri" w:cs="Calibri"/>
                <w:color w:val="000000"/>
                <w:sz w:val="18"/>
                <w:szCs w:val="18"/>
              </w:rPr>
            </w:pPr>
            <w:r w:rsidRPr="00D5138E">
              <w:rPr>
                <w:color w:val="000000"/>
                <w:sz w:val="18"/>
                <w:szCs w:val="18"/>
              </w:rPr>
              <w:t>0.89</w:t>
            </w:r>
          </w:p>
        </w:tc>
      </w:tr>
      <w:tr w:rsidR="00D5138E" w:rsidRPr="00D5138E" w:rsidTr="00D5138E">
        <w:trPr>
          <w:trHeight w:val="600"/>
          <w:jc w:val="center"/>
        </w:trPr>
        <w:tc>
          <w:tcPr>
            <w:tcW w:w="596"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b/>
                <w:bCs/>
                <w:color w:val="000000"/>
                <w:sz w:val="18"/>
                <w:szCs w:val="18"/>
              </w:rPr>
            </w:pPr>
            <w:r w:rsidRPr="00D5138E">
              <w:rPr>
                <w:b/>
                <w:bCs/>
                <w:color w:val="000000"/>
                <w:sz w:val="18"/>
                <w:szCs w:val="18"/>
              </w:rPr>
              <w:t>Twice the Window to Wall Ratio</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0.45</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0.92</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0.80</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0.87</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0.98</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0.92</w:t>
            </w:r>
          </w:p>
        </w:tc>
        <w:tc>
          <w:tcPr>
            <w:tcW w:w="424"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0.93</w:t>
            </w:r>
          </w:p>
        </w:tc>
        <w:tc>
          <w:tcPr>
            <w:tcW w:w="279"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0.97</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0.90</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0.93</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1.02</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1.00</w:t>
            </w:r>
          </w:p>
        </w:tc>
        <w:tc>
          <w:tcPr>
            <w:tcW w:w="441"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D5138E" w:rsidRPr="00D5138E" w:rsidRDefault="00D5138E" w:rsidP="0074703C">
            <w:pPr>
              <w:spacing w:after="0" w:line="240" w:lineRule="auto"/>
              <w:jc w:val="center"/>
              <w:rPr>
                <w:rFonts w:ascii="Calibri" w:hAnsi="Calibri" w:cs="Calibri"/>
                <w:color w:val="000000"/>
                <w:sz w:val="18"/>
                <w:szCs w:val="18"/>
              </w:rPr>
            </w:pPr>
            <w:r w:rsidRPr="00D5138E">
              <w:rPr>
                <w:color w:val="000000"/>
                <w:sz w:val="18"/>
                <w:szCs w:val="18"/>
              </w:rPr>
              <w:t>0.90</w:t>
            </w:r>
          </w:p>
        </w:tc>
      </w:tr>
      <w:tr w:rsidR="00D5138E" w:rsidTr="00D5138E">
        <w:trPr>
          <w:trHeight w:val="300"/>
          <w:jc w:val="center"/>
        </w:trPr>
        <w:tc>
          <w:tcPr>
            <w:tcW w:w="5000" w:type="pct"/>
            <w:gridSpan w:val="14"/>
            <w:tcBorders>
              <w:top w:val="single" w:sz="4" w:space="0" w:color="auto"/>
              <w:left w:val="single" w:sz="8" w:space="0" w:color="auto"/>
              <w:bottom w:val="single" w:sz="4" w:space="0" w:color="auto"/>
              <w:right w:val="single" w:sz="4" w:space="0" w:color="auto"/>
            </w:tcBorders>
            <w:noWrap/>
            <w:tcMar>
              <w:top w:w="0" w:type="dxa"/>
              <w:left w:w="108" w:type="dxa"/>
              <w:bottom w:w="0" w:type="dxa"/>
              <w:right w:w="108" w:type="dxa"/>
            </w:tcMar>
            <w:vAlign w:val="center"/>
            <w:hideMark/>
          </w:tcPr>
          <w:p w:rsidR="000420B3" w:rsidRDefault="00D5138E" w:rsidP="000420B3">
            <w:pPr>
              <w:rPr>
                <w:i/>
                <w:iCs/>
                <w:color w:val="000000"/>
              </w:rPr>
            </w:pPr>
            <w:r>
              <w:rPr>
                <w:i/>
                <w:iCs/>
                <w:color w:val="000000"/>
              </w:rPr>
              <w:t>Peak Period Ratio = average kWh usage between 1pm and 6pm divided by average kWh usage during 1pm and 6pm on a typical August 1-in-10 day</w:t>
            </w:r>
          </w:p>
          <w:p w:rsidR="00D5138E" w:rsidRDefault="000420B3" w:rsidP="000420B3">
            <w:pPr>
              <w:rPr>
                <w:rFonts w:ascii="Calibri" w:hAnsi="Calibri" w:cs="Calibri"/>
                <w:i/>
                <w:iCs/>
                <w:color w:val="000000"/>
              </w:rPr>
            </w:pPr>
            <w:r>
              <w:rPr>
                <w:i/>
                <w:iCs/>
                <w:color w:val="000000"/>
              </w:rPr>
              <w:t>*Baseline is the default temperature profile on July 1 for California Climate Zone 12 in the DRQAT.  It is not a monthly peak day.</w:t>
            </w:r>
            <w:r w:rsidR="00D5138E">
              <w:rPr>
                <w:i/>
                <w:iCs/>
                <w:color w:val="000000"/>
              </w:rPr>
              <w:t xml:space="preserve"> </w:t>
            </w:r>
          </w:p>
        </w:tc>
      </w:tr>
    </w:tbl>
    <w:p w:rsidR="00D5138E" w:rsidRDefault="00D5138E" w:rsidP="002127F7">
      <w:pPr>
        <w:rPr>
          <w:rFonts w:ascii="Calibri" w:hAnsi="Calibri" w:cs="Calibri"/>
        </w:rPr>
      </w:pPr>
    </w:p>
    <w:p w:rsidR="002127F7" w:rsidRDefault="0074703C" w:rsidP="0074703C">
      <w:pPr>
        <w:jc w:val="center"/>
      </w:pPr>
      <w:r w:rsidRPr="0074703C">
        <w:rPr>
          <w:rFonts w:ascii="Verdana" w:hAnsi="Verdana"/>
          <w:b/>
          <w:sz w:val="18"/>
        </w:rPr>
        <w:t>Table 2-3 Characteristics of Buildings in Table 2-2</w:t>
      </w:r>
    </w:p>
    <w:tbl>
      <w:tblPr>
        <w:tblW w:w="5000" w:type="pct"/>
        <w:jc w:val="center"/>
        <w:tblCellMar>
          <w:left w:w="0" w:type="dxa"/>
          <w:right w:w="0" w:type="dxa"/>
        </w:tblCellMar>
        <w:tblLook w:val="04A0"/>
      </w:tblPr>
      <w:tblGrid>
        <w:gridCol w:w="2358"/>
        <w:gridCol w:w="1241"/>
        <w:gridCol w:w="1352"/>
        <w:gridCol w:w="1465"/>
        <w:gridCol w:w="1352"/>
        <w:gridCol w:w="1352"/>
        <w:gridCol w:w="1352"/>
        <w:gridCol w:w="1352"/>
        <w:gridCol w:w="1352"/>
      </w:tblGrid>
      <w:tr w:rsidR="0074703C" w:rsidTr="0074703C">
        <w:trPr>
          <w:trHeight w:val="300"/>
          <w:jc w:val="center"/>
        </w:trPr>
        <w:tc>
          <w:tcPr>
            <w:tcW w:w="895" w:type="pct"/>
            <w:vMerge w:val="restart"/>
            <w:tcBorders>
              <w:top w:val="single" w:sz="8" w:space="0" w:color="auto"/>
              <w:left w:val="single" w:sz="8" w:space="0" w:color="auto"/>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Building Type</w:t>
            </w:r>
          </w:p>
        </w:tc>
        <w:tc>
          <w:tcPr>
            <w:tcW w:w="471"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Footprint (sq. ft)</w:t>
            </w:r>
          </w:p>
        </w:tc>
        <w:tc>
          <w:tcPr>
            <w:tcW w:w="513"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Stories</w:t>
            </w:r>
          </w:p>
        </w:tc>
        <w:tc>
          <w:tcPr>
            <w:tcW w:w="556"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Orientation</w:t>
            </w:r>
          </w:p>
        </w:tc>
        <w:tc>
          <w:tcPr>
            <w:tcW w:w="2052" w:type="pct"/>
            <w:gridSpan w:val="4"/>
            <w:tcBorders>
              <w:top w:val="single" w:sz="8" w:space="0" w:color="auto"/>
              <w:left w:val="nil"/>
              <w:bottom w:val="single" w:sz="8" w:space="0" w:color="FFFBF0"/>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Window to Wall Ratio</w:t>
            </w:r>
          </w:p>
        </w:tc>
        <w:tc>
          <w:tcPr>
            <w:tcW w:w="513" w:type="pct"/>
            <w:vMerge w:val="restart"/>
            <w:tcBorders>
              <w:top w:val="single" w:sz="8" w:space="0" w:color="auto"/>
              <w:left w:val="nil"/>
              <w:bottom w:val="single" w:sz="8" w:space="0" w:color="000000"/>
              <w:right w:val="single" w:sz="8" w:space="0" w:color="auto"/>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FFFBF0"/>
              </w:rPr>
            </w:pPr>
            <w:r>
              <w:rPr>
                <w:b/>
                <w:bCs/>
                <w:color w:val="FFFBF0"/>
              </w:rPr>
              <w:t>Climate Zone</w:t>
            </w:r>
          </w:p>
        </w:tc>
      </w:tr>
      <w:tr w:rsidR="0074703C" w:rsidTr="0074703C">
        <w:trPr>
          <w:trHeight w:val="300"/>
          <w:jc w:val="center"/>
        </w:trPr>
        <w:tc>
          <w:tcPr>
            <w:tcW w:w="895" w:type="pct"/>
            <w:vMerge/>
            <w:tcBorders>
              <w:top w:val="single" w:sz="8" w:space="0" w:color="auto"/>
              <w:left w:val="single" w:sz="8" w:space="0" w:color="auto"/>
              <w:bottom w:val="single" w:sz="8" w:space="0" w:color="000000"/>
              <w:right w:val="single" w:sz="8" w:space="0" w:color="FFFBF0"/>
            </w:tcBorders>
            <w:vAlign w:val="center"/>
            <w:hideMark/>
          </w:tcPr>
          <w:p w:rsidR="0074703C" w:rsidRDefault="0074703C" w:rsidP="0074703C">
            <w:pPr>
              <w:spacing w:after="0" w:line="240" w:lineRule="auto"/>
              <w:rPr>
                <w:rFonts w:ascii="Calibri" w:hAnsi="Calibri" w:cs="Calibri"/>
                <w:b/>
                <w:bCs/>
                <w:color w:val="FFFBF0"/>
              </w:rPr>
            </w:pPr>
          </w:p>
        </w:tc>
        <w:tc>
          <w:tcPr>
            <w:tcW w:w="471" w:type="pct"/>
            <w:vMerge/>
            <w:tcBorders>
              <w:top w:val="single" w:sz="8" w:space="0" w:color="auto"/>
              <w:left w:val="nil"/>
              <w:bottom w:val="single" w:sz="8" w:space="0" w:color="000000"/>
              <w:right w:val="single" w:sz="8" w:space="0" w:color="FFFBF0"/>
            </w:tcBorders>
            <w:vAlign w:val="center"/>
            <w:hideMark/>
          </w:tcPr>
          <w:p w:rsidR="0074703C" w:rsidRDefault="0074703C" w:rsidP="0074703C">
            <w:pPr>
              <w:spacing w:after="0" w:line="240" w:lineRule="auto"/>
              <w:rPr>
                <w:rFonts w:ascii="Calibri" w:hAnsi="Calibri" w:cs="Calibri"/>
                <w:b/>
                <w:bCs/>
                <w:color w:val="FFFBF0"/>
              </w:rPr>
            </w:pPr>
          </w:p>
        </w:tc>
        <w:tc>
          <w:tcPr>
            <w:tcW w:w="513" w:type="pct"/>
            <w:vMerge/>
            <w:tcBorders>
              <w:top w:val="single" w:sz="8" w:space="0" w:color="auto"/>
              <w:left w:val="nil"/>
              <w:bottom w:val="single" w:sz="8" w:space="0" w:color="000000"/>
              <w:right w:val="single" w:sz="8" w:space="0" w:color="FFFBF0"/>
            </w:tcBorders>
            <w:vAlign w:val="center"/>
            <w:hideMark/>
          </w:tcPr>
          <w:p w:rsidR="0074703C" w:rsidRDefault="0074703C" w:rsidP="0074703C">
            <w:pPr>
              <w:spacing w:after="0" w:line="240" w:lineRule="auto"/>
              <w:rPr>
                <w:rFonts w:ascii="Calibri" w:hAnsi="Calibri" w:cs="Calibri"/>
                <w:b/>
                <w:bCs/>
                <w:color w:val="FFFBF0"/>
              </w:rPr>
            </w:pPr>
          </w:p>
        </w:tc>
        <w:tc>
          <w:tcPr>
            <w:tcW w:w="556" w:type="pct"/>
            <w:vMerge/>
            <w:tcBorders>
              <w:top w:val="single" w:sz="8" w:space="0" w:color="auto"/>
              <w:left w:val="nil"/>
              <w:bottom w:val="single" w:sz="8" w:space="0" w:color="000000"/>
              <w:right w:val="single" w:sz="8" w:space="0" w:color="FFFBF0"/>
            </w:tcBorders>
            <w:vAlign w:val="center"/>
            <w:hideMark/>
          </w:tcPr>
          <w:p w:rsidR="0074703C" w:rsidRDefault="0074703C" w:rsidP="0074703C">
            <w:pPr>
              <w:spacing w:after="0" w:line="240" w:lineRule="auto"/>
              <w:rPr>
                <w:rFonts w:ascii="Calibri" w:hAnsi="Calibri" w:cs="Calibri"/>
                <w:b/>
                <w:bCs/>
                <w:color w:val="FFFBF0"/>
              </w:rPr>
            </w:pP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i/>
                <w:iCs/>
                <w:color w:val="FFFBF0"/>
              </w:rPr>
            </w:pPr>
            <w:r>
              <w:rPr>
                <w:b/>
                <w:bCs/>
                <w:i/>
                <w:iCs/>
                <w:color w:val="FFFBF0"/>
              </w:rPr>
              <w:t>North</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i/>
                <w:iCs/>
                <w:color w:val="FFFBF0"/>
              </w:rPr>
            </w:pPr>
            <w:r>
              <w:rPr>
                <w:b/>
                <w:bCs/>
                <w:i/>
                <w:iCs/>
                <w:color w:val="FFFBF0"/>
              </w:rPr>
              <w:t>East</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i/>
                <w:iCs/>
                <w:color w:val="FFFBF0"/>
              </w:rPr>
            </w:pPr>
            <w:r>
              <w:rPr>
                <w:b/>
                <w:bCs/>
                <w:i/>
                <w:iCs/>
                <w:color w:val="FFFBF0"/>
              </w:rPr>
              <w:t>South</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i/>
                <w:iCs/>
                <w:color w:val="FFFBF0"/>
              </w:rPr>
            </w:pPr>
            <w:r>
              <w:rPr>
                <w:b/>
                <w:bCs/>
                <w:i/>
                <w:iCs/>
                <w:color w:val="FFFBF0"/>
              </w:rPr>
              <w:t>West</w:t>
            </w:r>
          </w:p>
        </w:tc>
        <w:tc>
          <w:tcPr>
            <w:tcW w:w="513" w:type="pct"/>
            <w:vMerge/>
            <w:tcBorders>
              <w:top w:val="single" w:sz="8" w:space="0" w:color="auto"/>
              <w:left w:val="nil"/>
              <w:bottom w:val="single" w:sz="8" w:space="0" w:color="000000"/>
              <w:right w:val="single" w:sz="8" w:space="0" w:color="auto"/>
            </w:tcBorders>
            <w:vAlign w:val="center"/>
            <w:hideMark/>
          </w:tcPr>
          <w:p w:rsidR="0074703C" w:rsidRDefault="0074703C" w:rsidP="0074703C">
            <w:pPr>
              <w:spacing w:after="0" w:line="240" w:lineRule="auto"/>
              <w:rPr>
                <w:rFonts w:ascii="Calibri" w:hAnsi="Calibri" w:cs="Calibri"/>
                <w:b/>
                <w:bCs/>
                <w:color w:val="FFFBF0"/>
              </w:rPr>
            </w:pPr>
          </w:p>
        </w:tc>
      </w:tr>
      <w:tr w:rsidR="0074703C" w:rsidTr="0074703C">
        <w:trPr>
          <w:trHeight w:val="403"/>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000000"/>
              </w:rPr>
            </w:pPr>
            <w:r>
              <w:rPr>
                <w:b/>
                <w:bCs/>
                <w:color w:val="000000"/>
              </w:rPr>
              <w:t>Original Building</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12</w:t>
            </w:r>
          </w:p>
        </w:tc>
      </w:tr>
      <w:tr w:rsidR="0074703C" w:rsidTr="0074703C">
        <w:trPr>
          <w:trHeight w:val="448"/>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000000"/>
              </w:rPr>
            </w:pPr>
            <w:r>
              <w:rPr>
                <w:b/>
                <w:bCs/>
                <w:color w:val="000000"/>
              </w:rPr>
              <w:t>Twice the Size</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21,141</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12</w:t>
            </w:r>
          </w:p>
        </w:tc>
      </w:tr>
      <w:tr w:rsidR="0074703C" w:rsidTr="0074703C">
        <w:trPr>
          <w:trHeight w:val="421"/>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000000"/>
              </w:rPr>
            </w:pPr>
            <w:r>
              <w:rPr>
                <w:b/>
                <w:bCs/>
                <w:color w:val="000000"/>
              </w:rPr>
              <w:t>Half the Size</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5,329</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12</w:t>
            </w:r>
          </w:p>
        </w:tc>
      </w:tr>
      <w:tr w:rsidR="0074703C" w:rsidTr="0074703C">
        <w:trPr>
          <w:trHeight w:val="439"/>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000000"/>
              </w:rPr>
            </w:pPr>
            <w:r>
              <w:rPr>
                <w:b/>
                <w:bCs/>
                <w:color w:val="000000"/>
              </w:rPr>
              <w:t>Four Floors</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4</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12</w:t>
            </w:r>
          </w:p>
        </w:tc>
      </w:tr>
      <w:tr w:rsidR="0074703C" w:rsidTr="0074703C">
        <w:trPr>
          <w:trHeight w:val="340"/>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b/>
                <w:bCs/>
                <w:color w:val="000000"/>
              </w:rPr>
            </w:pPr>
            <w:r>
              <w:rPr>
                <w:b/>
                <w:bCs/>
                <w:color w:val="000000"/>
              </w:rPr>
              <w:t>Twice the Window to Wall Ratio</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0.32</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0.56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0.40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0.46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74703C" w:rsidRDefault="0074703C" w:rsidP="0074703C">
            <w:pPr>
              <w:spacing w:after="0" w:line="240" w:lineRule="auto"/>
              <w:jc w:val="center"/>
              <w:rPr>
                <w:rFonts w:ascii="Calibri" w:hAnsi="Calibri" w:cs="Calibri"/>
                <w:color w:val="000000"/>
              </w:rPr>
            </w:pPr>
            <w:r>
              <w:rPr>
                <w:color w:val="000000"/>
              </w:rPr>
              <w:t>12</w:t>
            </w:r>
          </w:p>
        </w:tc>
      </w:tr>
    </w:tbl>
    <w:p w:rsidR="0074703C" w:rsidRPr="00D5138E" w:rsidRDefault="0074703C" w:rsidP="00D5138E">
      <w:pPr>
        <w:rPr>
          <w:rFonts w:ascii="Verdana" w:hAnsi="Verdana"/>
          <w:sz w:val="18"/>
        </w:rPr>
        <w:sectPr w:rsidR="0074703C" w:rsidRPr="00D5138E" w:rsidSect="00927D58">
          <w:pgSz w:w="15840" w:h="12240" w:orient="landscape"/>
          <w:pgMar w:top="1440" w:right="1440" w:bottom="1440" w:left="1440" w:header="720" w:footer="720" w:gutter="0"/>
          <w:cols w:space="720"/>
          <w:docGrid w:linePitch="360"/>
        </w:sectPr>
      </w:pPr>
    </w:p>
    <w:p w:rsidR="007F247C" w:rsidRDefault="007F247C" w:rsidP="007F247C">
      <w:pPr>
        <w:pStyle w:val="BodyParaAfterTableFigure"/>
      </w:pPr>
      <w:r>
        <w:t>Having established that we can use the DRQAT to determine relative usage levels without regard to the building characteristics, our process for producing ex ante values is as follows.</w:t>
      </w:r>
    </w:p>
    <w:p w:rsidR="006A7D5C" w:rsidRDefault="006A7D5C" w:rsidP="006A7D5C">
      <w:pPr>
        <w:pStyle w:val="BodyParagraph"/>
      </w:pPr>
      <w:r>
        <w:t>Taking the enrollment forecast from Table 2-1, we assign each forecasted site to a weather station within that LCA.  Some LCAs have sites at multiple weather stations and in those cases we have made assumptions about the percentage of load shift that will be associated with each station.  The table shows those assumptions as well.  For example, at SDG&amp;E, half the assumed load shift is assigned to the Miramar station and the other half is assigned to the much cooler Lindbergh Field weather station.  Table 2-4 below shows the weather stations assigned within each LCA from Table 2-1.</w:t>
      </w:r>
    </w:p>
    <w:p w:rsidR="00774663" w:rsidRPr="00774663" w:rsidRDefault="00774663" w:rsidP="00774663">
      <w:pPr>
        <w:pStyle w:val="BodyParagraph"/>
        <w:jc w:val="center"/>
        <w:rPr>
          <w:b/>
        </w:rPr>
      </w:pPr>
      <w:r w:rsidRPr="00774663">
        <w:rPr>
          <w:b/>
        </w:rPr>
        <w:t>Table 2-4:  Weather Station Assignments</w:t>
      </w:r>
    </w:p>
    <w:tbl>
      <w:tblPr>
        <w:tblW w:w="7668" w:type="dxa"/>
        <w:jc w:val="center"/>
        <w:tblCellMar>
          <w:left w:w="0" w:type="dxa"/>
          <w:right w:w="0" w:type="dxa"/>
        </w:tblCellMar>
        <w:tblLook w:val="04A0"/>
      </w:tblPr>
      <w:tblGrid>
        <w:gridCol w:w="1346"/>
        <w:gridCol w:w="2663"/>
        <w:gridCol w:w="3659"/>
      </w:tblGrid>
      <w:tr w:rsidR="0011699B" w:rsidTr="003B47CB">
        <w:trPr>
          <w:trHeight w:val="610"/>
          <w:jc w:val="center"/>
        </w:trPr>
        <w:tc>
          <w:tcPr>
            <w:tcW w:w="1346" w:type="dxa"/>
            <w:tcBorders>
              <w:top w:val="single" w:sz="8" w:space="0" w:color="auto"/>
              <w:left w:val="single" w:sz="8" w:space="0" w:color="auto"/>
              <w:bottom w:val="single" w:sz="8" w:space="0" w:color="auto"/>
              <w:right w:val="single" w:sz="8" w:space="0" w:color="auto"/>
            </w:tcBorders>
            <w:shd w:val="clear" w:color="auto" w:fill="1F497D"/>
            <w:noWrap/>
            <w:tcMar>
              <w:top w:w="0" w:type="dxa"/>
              <w:left w:w="108" w:type="dxa"/>
              <w:bottom w:w="0" w:type="dxa"/>
              <w:right w:w="108" w:type="dxa"/>
            </w:tcMar>
            <w:vAlign w:val="center"/>
            <w:hideMark/>
          </w:tcPr>
          <w:p w:rsidR="0011699B" w:rsidRDefault="0011699B" w:rsidP="0011699B">
            <w:pPr>
              <w:spacing w:line="240" w:lineRule="auto"/>
              <w:jc w:val="center"/>
              <w:rPr>
                <w:rFonts w:ascii="Calibri" w:hAnsi="Calibri" w:cs="Calibri"/>
                <w:color w:val="FFFFFF"/>
              </w:rPr>
            </w:pPr>
            <w:r>
              <w:rPr>
                <w:color w:val="FFFFFF"/>
              </w:rPr>
              <w:t>Utility</w:t>
            </w:r>
          </w:p>
        </w:tc>
        <w:tc>
          <w:tcPr>
            <w:tcW w:w="2663" w:type="dxa"/>
            <w:tcBorders>
              <w:top w:val="single" w:sz="8" w:space="0" w:color="auto"/>
              <w:left w:val="nil"/>
              <w:bottom w:val="single" w:sz="8" w:space="0" w:color="auto"/>
              <w:right w:val="single" w:sz="8" w:space="0" w:color="auto"/>
            </w:tcBorders>
            <w:shd w:val="clear" w:color="auto" w:fill="1F497D"/>
            <w:noWrap/>
            <w:tcMar>
              <w:top w:w="0" w:type="dxa"/>
              <w:left w:w="108" w:type="dxa"/>
              <w:bottom w:w="0" w:type="dxa"/>
              <w:right w:w="108" w:type="dxa"/>
            </w:tcMar>
            <w:vAlign w:val="center"/>
            <w:hideMark/>
          </w:tcPr>
          <w:p w:rsidR="0011699B" w:rsidRDefault="0011699B" w:rsidP="0011699B">
            <w:pPr>
              <w:spacing w:line="240" w:lineRule="auto"/>
              <w:jc w:val="center"/>
              <w:rPr>
                <w:rFonts w:ascii="Calibri" w:hAnsi="Calibri" w:cs="Calibri"/>
                <w:color w:val="FFFFFF"/>
              </w:rPr>
            </w:pPr>
            <w:r>
              <w:rPr>
                <w:color w:val="FFFFFF"/>
              </w:rPr>
              <w:t>LCA</w:t>
            </w:r>
          </w:p>
        </w:tc>
        <w:tc>
          <w:tcPr>
            <w:tcW w:w="3659" w:type="dxa"/>
            <w:tcBorders>
              <w:top w:val="single" w:sz="8" w:space="0" w:color="auto"/>
              <w:left w:val="nil"/>
              <w:bottom w:val="single" w:sz="8" w:space="0" w:color="auto"/>
              <w:right w:val="single" w:sz="8" w:space="0" w:color="auto"/>
            </w:tcBorders>
            <w:shd w:val="clear" w:color="auto" w:fill="1F497D"/>
            <w:tcMar>
              <w:top w:w="0" w:type="dxa"/>
              <w:left w:w="108" w:type="dxa"/>
              <w:bottom w:w="0" w:type="dxa"/>
              <w:right w:w="108" w:type="dxa"/>
            </w:tcMar>
            <w:vAlign w:val="center"/>
            <w:hideMark/>
          </w:tcPr>
          <w:p w:rsidR="0011699B" w:rsidRDefault="0011699B" w:rsidP="0011699B">
            <w:pPr>
              <w:spacing w:line="240" w:lineRule="auto"/>
              <w:jc w:val="center"/>
              <w:rPr>
                <w:rFonts w:ascii="Calibri" w:hAnsi="Calibri" w:cs="Calibri"/>
                <w:color w:val="FFFFFF"/>
              </w:rPr>
            </w:pPr>
            <w:r>
              <w:rPr>
                <w:color w:val="FFFFFF"/>
              </w:rPr>
              <w:t xml:space="preserve">Weather Stations Assigned </w:t>
            </w:r>
            <w:r w:rsidR="006A7D5C">
              <w:rPr>
                <w:color w:val="FFFFFF"/>
              </w:rPr>
              <w:t>(percentage of assigned load shift in parentheses)</w:t>
            </w:r>
          </w:p>
        </w:tc>
      </w:tr>
      <w:tr w:rsidR="0011699B" w:rsidTr="003B47CB">
        <w:trPr>
          <w:trHeight w:val="20"/>
          <w:jc w:val="center"/>
        </w:trPr>
        <w:tc>
          <w:tcPr>
            <w:tcW w:w="1346"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jc w:val="center"/>
              <w:rPr>
                <w:rFonts w:ascii="Calibri" w:hAnsi="Calibri" w:cs="Calibri"/>
                <w:color w:val="000000"/>
                <w:sz w:val="20"/>
                <w:szCs w:val="20"/>
              </w:rPr>
            </w:pPr>
            <w:r w:rsidRPr="0094629C">
              <w:rPr>
                <w:color w:val="000000"/>
                <w:sz w:val="20"/>
                <w:szCs w:val="20"/>
              </w:rPr>
              <w:t>PG&amp;E</w:t>
            </w: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Greater Bay Area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Concord (40%), Cupertino (40%), Milpitas (10%), San Ramon (10%)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Greater Fresno</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Fresno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Humboldt</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Eureka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Kern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Bakersfield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Northern Coast</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Sacramento (50%), Santa Rosa (50%)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Sierra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Auburn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Stockton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Stockton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Other</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Salinas (100%)</w:t>
            </w:r>
          </w:p>
        </w:tc>
      </w:tr>
      <w:tr w:rsidR="0011699B" w:rsidTr="003B47CB">
        <w:trPr>
          <w:trHeight w:val="20"/>
          <w:jc w:val="center"/>
        </w:trPr>
        <w:tc>
          <w:tcPr>
            <w:tcW w:w="1346"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jc w:val="center"/>
              <w:rPr>
                <w:rFonts w:ascii="Calibri" w:hAnsi="Calibri" w:cs="Calibri"/>
                <w:color w:val="000000"/>
                <w:sz w:val="20"/>
                <w:szCs w:val="20"/>
              </w:rPr>
            </w:pPr>
            <w:r w:rsidRPr="0094629C">
              <w:rPr>
                <w:color w:val="000000"/>
                <w:sz w:val="20"/>
                <w:szCs w:val="20"/>
              </w:rPr>
              <w:t>SCE</w:t>
            </w: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LA Basin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173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Outside LA Basin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132 (100%)</w:t>
            </w:r>
          </w:p>
        </w:tc>
      </w:tr>
      <w:tr w:rsidR="0011699B" w:rsidTr="003B47CB">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11699B" w:rsidRPr="00806233" w:rsidRDefault="0011699B" w:rsidP="003B47CB">
            <w:pPr>
              <w:spacing w:after="0" w:line="240" w:lineRule="auto"/>
              <w:rPr>
                <w:rFonts w:ascii="Calibri" w:hAnsi="Calibri" w:cs="Calibri"/>
                <w:color w:val="000000"/>
                <w:sz w:val="20"/>
                <w:szCs w:val="20"/>
              </w:rPr>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Ventura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193 (100%)</w:t>
            </w:r>
          </w:p>
        </w:tc>
      </w:tr>
      <w:tr w:rsidR="0011699B" w:rsidTr="003B47CB">
        <w:trPr>
          <w:trHeight w:val="20"/>
          <w:jc w:val="center"/>
        </w:trPr>
        <w:tc>
          <w:tcPr>
            <w:tcW w:w="4009"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11699B" w:rsidRPr="00806233" w:rsidRDefault="0094629C" w:rsidP="003B47CB">
            <w:pPr>
              <w:spacing w:after="0" w:line="240" w:lineRule="auto"/>
              <w:jc w:val="center"/>
              <w:rPr>
                <w:rFonts w:ascii="Calibri" w:hAnsi="Calibri" w:cs="Calibri"/>
                <w:sz w:val="20"/>
                <w:szCs w:val="20"/>
              </w:rPr>
            </w:pPr>
            <w:r w:rsidRPr="0094629C">
              <w:rPr>
                <w:sz w:val="20"/>
                <w:szCs w:val="20"/>
              </w:rPr>
              <w:t>SDG&amp;E</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699B" w:rsidRPr="00806233" w:rsidRDefault="0094629C" w:rsidP="003B47CB">
            <w:pPr>
              <w:spacing w:after="0" w:line="240" w:lineRule="auto"/>
              <w:rPr>
                <w:rFonts w:ascii="Calibri" w:hAnsi="Calibri" w:cs="Calibri"/>
                <w:sz w:val="20"/>
                <w:szCs w:val="20"/>
              </w:rPr>
            </w:pPr>
            <w:r w:rsidRPr="0094629C">
              <w:rPr>
                <w:sz w:val="20"/>
                <w:szCs w:val="20"/>
              </w:rPr>
              <w:t>Lindberg Field (50%), Miramar (50%)</w:t>
            </w:r>
          </w:p>
        </w:tc>
      </w:tr>
    </w:tbl>
    <w:p w:rsidR="007F247C" w:rsidRDefault="00830DF5" w:rsidP="003B47CB">
      <w:pPr>
        <w:pStyle w:val="BodyParaAfterTableFigure"/>
      </w:pPr>
      <w:r>
        <w:t>We take</w:t>
      </w:r>
      <w:r w:rsidR="007F247C">
        <w:t xml:space="preserve"> the “Original Building” from Table 2-3</w:t>
      </w:r>
      <w:r>
        <w:t xml:space="preserve"> and use it as our representative building for determining relative usage levels under different conditions.  W</w:t>
      </w:r>
      <w:r w:rsidR="007F247C">
        <w:t xml:space="preserve">e estimate cooling load for that building under the following conditions for each </w:t>
      </w:r>
      <w:r w:rsidR="00992D72">
        <w:t>weather station</w:t>
      </w:r>
      <w:r w:rsidR="007F247C">
        <w:t>:</w:t>
      </w:r>
    </w:p>
    <w:p w:rsidR="007F247C" w:rsidRDefault="00CA3238" w:rsidP="007F247C">
      <w:pPr>
        <w:pStyle w:val="Bullets"/>
      </w:pPr>
      <w:r>
        <w:t>ASHRAE 2% weather conditions</w:t>
      </w:r>
      <w:r w:rsidR="00992D72">
        <w:t>;</w:t>
      </w:r>
      <w:r>
        <w:rPr>
          <w:rStyle w:val="FootnoteReference"/>
        </w:rPr>
        <w:footnoteReference w:id="9"/>
      </w:r>
      <w:r>
        <w:t xml:space="preserve"> and</w:t>
      </w:r>
    </w:p>
    <w:p w:rsidR="00992D72" w:rsidRDefault="00992D72" w:rsidP="003B47CB">
      <w:pPr>
        <w:pStyle w:val="BulletLast"/>
      </w:pPr>
      <w:r>
        <w:t xml:space="preserve">Ex ante weather conditions for each month of the year for system peak day and average weekday for 1-in-2 years and 1-in-10 years.  </w:t>
      </w:r>
    </w:p>
    <w:p w:rsidR="00BF20CC" w:rsidRDefault="00796FCB" w:rsidP="00BF20CC">
      <w:pPr>
        <w:pStyle w:val="BodyParagraph"/>
      </w:pPr>
      <w:r>
        <w:t>For</w:t>
      </w:r>
      <w:r w:rsidR="00992D72">
        <w:t xml:space="preserve"> both the ASHRAE </w:t>
      </w:r>
      <w:r>
        <w:t>2% conditions</w:t>
      </w:r>
      <w:r w:rsidR="00992D72">
        <w:t xml:space="preserve"> and the ex </w:t>
      </w:r>
      <w:r>
        <w:t>ante conditions, we take the DRQAT’s baseline conditions as the conditions the day before the forecast.</w:t>
      </w:r>
      <w:r w:rsidR="00456B75">
        <w:t xml:space="preserve">  </w:t>
      </w:r>
      <w:r w:rsidR="00BF20CC">
        <w:t>Table 2-5 shows the average temperature during the peak period for the ASHRAE 2% weather conditions for each weather station.</w:t>
      </w:r>
      <w:r w:rsidR="00D660A3">
        <w:t xml:space="preserve">  In general, ASHRAE 2% conditions are fairly similar to August 1-in-10, but may be hotter or cooler.</w:t>
      </w:r>
    </w:p>
    <w:p w:rsidR="00BF20CC" w:rsidRDefault="00BF20CC" w:rsidP="00BF20CC">
      <w:pPr>
        <w:pStyle w:val="BodyParagraph"/>
        <w:jc w:val="center"/>
        <w:rPr>
          <w:b/>
        </w:rPr>
      </w:pPr>
      <w:r w:rsidRPr="00774663">
        <w:rPr>
          <w:b/>
        </w:rPr>
        <w:t>Table 2-</w:t>
      </w:r>
      <w:r w:rsidR="00D660A3">
        <w:rPr>
          <w:b/>
        </w:rPr>
        <w:t>5</w:t>
      </w:r>
      <w:r w:rsidRPr="00774663">
        <w:rPr>
          <w:b/>
        </w:rPr>
        <w:t xml:space="preserve">:  </w:t>
      </w:r>
      <w:r>
        <w:rPr>
          <w:b/>
        </w:rPr>
        <w:t>ASHRAE 2% Weather Conditions for Each Weather Station</w:t>
      </w:r>
    </w:p>
    <w:tbl>
      <w:tblPr>
        <w:tblW w:w="5226" w:type="pct"/>
        <w:tblLook w:val="04A0"/>
      </w:tblPr>
      <w:tblGrid>
        <w:gridCol w:w="782"/>
        <w:gridCol w:w="1752"/>
        <w:gridCol w:w="1587"/>
        <w:gridCol w:w="2752"/>
        <w:gridCol w:w="1519"/>
        <w:gridCol w:w="1617"/>
      </w:tblGrid>
      <w:tr w:rsidR="00B01C0D" w:rsidRPr="00B01C0D" w:rsidTr="00D660A3">
        <w:trPr>
          <w:trHeight w:val="900"/>
        </w:trPr>
        <w:tc>
          <w:tcPr>
            <w:tcW w:w="390" w:type="pct"/>
            <w:tcBorders>
              <w:top w:val="single" w:sz="8" w:space="0" w:color="auto"/>
              <w:left w:val="single" w:sz="8" w:space="0" w:color="auto"/>
              <w:bottom w:val="single" w:sz="4" w:space="0" w:color="auto"/>
              <w:right w:val="single" w:sz="4" w:space="0" w:color="FFFBF0"/>
            </w:tcBorders>
            <w:shd w:val="clear" w:color="000000" w:fill="1F497D"/>
            <w:noWrap/>
            <w:vAlign w:val="center"/>
            <w:hideMark/>
          </w:tcPr>
          <w:p w:rsidR="00B01C0D" w:rsidRPr="00B01C0D" w:rsidRDefault="00B01C0D" w:rsidP="00B01C0D">
            <w:pPr>
              <w:spacing w:after="0" w:line="240" w:lineRule="auto"/>
              <w:jc w:val="center"/>
              <w:rPr>
                <w:rFonts w:ascii="Calibri" w:eastAsia="Times New Roman" w:hAnsi="Calibri" w:cs="Calibri"/>
                <w:b/>
                <w:bCs/>
                <w:color w:val="FFFFFF"/>
              </w:rPr>
            </w:pPr>
            <w:r w:rsidRPr="00B01C0D">
              <w:rPr>
                <w:rFonts w:ascii="Calibri" w:eastAsia="Times New Roman" w:hAnsi="Calibri" w:cs="Calibri"/>
                <w:b/>
                <w:bCs/>
                <w:color w:val="FFFFFF"/>
              </w:rPr>
              <w:t>Utility</w:t>
            </w:r>
          </w:p>
        </w:tc>
        <w:tc>
          <w:tcPr>
            <w:tcW w:w="875" w:type="pct"/>
            <w:tcBorders>
              <w:top w:val="single" w:sz="4" w:space="0" w:color="auto"/>
              <w:left w:val="nil"/>
              <w:bottom w:val="single" w:sz="4" w:space="0" w:color="auto"/>
              <w:right w:val="single" w:sz="4" w:space="0" w:color="FFFBF0"/>
            </w:tcBorders>
            <w:shd w:val="clear" w:color="000000" w:fill="1F497D"/>
            <w:vAlign w:val="center"/>
            <w:hideMark/>
          </w:tcPr>
          <w:p w:rsidR="00B01C0D" w:rsidRPr="00B01C0D" w:rsidRDefault="00B01C0D" w:rsidP="00B01C0D">
            <w:pPr>
              <w:spacing w:after="0" w:line="240" w:lineRule="auto"/>
              <w:jc w:val="center"/>
              <w:rPr>
                <w:rFonts w:ascii="Calibri" w:eastAsia="Times New Roman" w:hAnsi="Calibri" w:cs="Calibri"/>
                <w:b/>
                <w:bCs/>
                <w:color w:val="FFFBF0"/>
              </w:rPr>
            </w:pPr>
            <w:r w:rsidRPr="00B01C0D">
              <w:rPr>
                <w:rFonts w:ascii="Calibri" w:eastAsia="Times New Roman" w:hAnsi="Calibri" w:cs="Calibri"/>
                <w:b/>
                <w:bCs/>
                <w:color w:val="FFFBF0"/>
              </w:rPr>
              <w:t>LCA</w:t>
            </w:r>
          </w:p>
        </w:tc>
        <w:tc>
          <w:tcPr>
            <w:tcW w:w="793" w:type="pct"/>
            <w:tcBorders>
              <w:top w:val="single" w:sz="4" w:space="0" w:color="auto"/>
              <w:left w:val="nil"/>
              <w:bottom w:val="single" w:sz="4" w:space="0" w:color="auto"/>
              <w:right w:val="single" w:sz="4" w:space="0" w:color="FFFBF0"/>
            </w:tcBorders>
            <w:shd w:val="clear" w:color="000000" w:fill="1F497D"/>
            <w:vAlign w:val="center"/>
            <w:hideMark/>
          </w:tcPr>
          <w:p w:rsidR="00B01C0D" w:rsidRPr="00B01C0D" w:rsidRDefault="00B01C0D" w:rsidP="00B01C0D">
            <w:pPr>
              <w:spacing w:after="0" w:line="240" w:lineRule="auto"/>
              <w:jc w:val="center"/>
              <w:rPr>
                <w:rFonts w:ascii="Calibri" w:eastAsia="Times New Roman" w:hAnsi="Calibri" w:cs="Calibri"/>
                <w:b/>
                <w:bCs/>
                <w:color w:val="FFFBF0"/>
              </w:rPr>
            </w:pPr>
            <w:r w:rsidRPr="00B01C0D">
              <w:rPr>
                <w:rFonts w:ascii="Calibri" w:eastAsia="Times New Roman" w:hAnsi="Calibri" w:cs="Calibri"/>
                <w:b/>
                <w:bCs/>
                <w:color w:val="FFFBF0"/>
              </w:rPr>
              <w:t>Utility Designated Weather Station</w:t>
            </w:r>
          </w:p>
        </w:tc>
        <w:tc>
          <w:tcPr>
            <w:tcW w:w="1375" w:type="pct"/>
            <w:tcBorders>
              <w:top w:val="single" w:sz="4" w:space="0" w:color="auto"/>
              <w:left w:val="nil"/>
              <w:bottom w:val="single" w:sz="4" w:space="0" w:color="auto"/>
              <w:right w:val="single" w:sz="4" w:space="0" w:color="FFFBF0"/>
            </w:tcBorders>
            <w:shd w:val="clear" w:color="000000" w:fill="1F497D"/>
            <w:noWrap/>
            <w:vAlign w:val="center"/>
            <w:hideMark/>
          </w:tcPr>
          <w:p w:rsidR="00B01C0D" w:rsidRPr="00B01C0D" w:rsidRDefault="00B01C0D" w:rsidP="00B01C0D">
            <w:pPr>
              <w:spacing w:after="0" w:line="240" w:lineRule="auto"/>
              <w:jc w:val="center"/>
              <w:rPr>
                <w:rFonts w:ascii="Calibri" w:eastAsia="Times New Roman" w:hAnsi="Calibri" w:cs="Calibri"/>
                <w:b/>
                <w:bCs/>
                <w:color w:val="FFFBF0"/>
              </w:rPr>
            </w:pPr>
            <w:r w:rsidRPr="00B01C0D">
              <w:rPr>
                <w:rFonts w:ascii="Calibri" w:eastAsia="Times New Roman" w:hAnsi="Calibri" w:cs="Calibri"/>
                <w:b/>
                <w:bCs/>
                <w:color w:val="FFFBF0"/>
              </w:rPr>
              <w:t>ASHRAE Weather Station</w:t>
            </w:r>
          </w:p>
        </w:tc>
        <w:tc>
          <w:tcPr>
            <w:tcW w:w="759" w:type="pct"/>
            <w:tcBorders>
              <w:top w:val="single" w:sz="4" w:space="0" w:color="auto"/>
              <w:left w:val="nil"/>
              <w:bottom w:val="single" w:sz="4" w:space="0" w:color="auto"/>
              <w:right w:val="single" w:sz="4" w:space="0" w:color="FFFBF0"/>
            </w:tcBorders>
            <w:shd w:val="clear" w:color="000000" w:fill="1F497D"/>
            <w:vAlign w:val="center"/>
            <w:hideMark/>
          </w:tcPr>
          <w:p w:rsidR="00B01C0D" w:rsidRPr="00B01C0D" w:rsidRDefault="00B01C0D" w:rsidP="00D660A3">
            <w:pPr>
              <w:spacing w:after="0" w:line="240" w:lineRule="auto"/>
              <w:jc w:val="center"/>
              <w:rPr>
                <w:rFonts w:ascii="Calibri" w:eastAsia="Times New Roman" w:hAnsi="Calibri" w:cs="Calibri"/>
                <w:b/>
                <w:bCs/>
                <w:color w:val="FFFBF0"/>
              </w:rPr>
            </w:pPr>
            <w:r w:rsidRPr="00B01C0D">
              <w:rPr>
                <w:rFonts w:ascii="Calibri" w:eastAsia="Times New Roman" w:hAnsi="Calibri" w:cs="Calibri"/>
                <w:b/>
                <w:bCs/>
                <w:color w:val="FFFBF0"/>
              </w:rPr>
              <w:t xml:space="preserve">August 2% Average </w:t>
            </w:r>
            <w:r w:rsidR="00D660A3">
              <w:rPr>
                <w:rFonts w:ascii="Calibri" w:eastAsia="Times New Roman" w:hAnsi="Calibri" w:cs="Calibri"/>
                <w:b/>
                <w:bCs/>
                <w:color w:val="FFFBF0"/>
              </w:rPr>
              <w:t xml:space="preserve">12-6 PM </w:t>
            </w:r>
            <w:r w:rsidRPr="00B01C0D">
              <w:rPr>
                <w:rFonts w:ascii="Calibri" w:eastAsia="Times New Roman" w:hAnsi="Calibri" w:cs="Calibri"/>
                <w:b/>
                <w:bCs/>
                <w:color w:val="FFFBF0"/>
              </w:rPr>
              <w:t xml:space="preserve"> Temperature (*F)</w:t>
            </w:r>
          </w:p>
        </w:tc>
        <w:tc>
          <w:tcPr>
            <w:tcW w:w="809" w:type="pct"/>
            <w:tcBorders>
              <w:top w:val="single" w:sz="4" w:space="0" w:color="auto"/>
              <w:left w:val="nil"/>
              <w:bottom w:val="single" w:sz="4" w:space="0" w:color="auto"/>
              <w:right w:val="single" w:sz="4" w:space="0" w:color="auto"/>
            </w:tcBorders>
            <w:shd w:val="clear" w:color="000000" w:fill="1F497D"/>
            <w:vAlign w:val="center"/>
            <w:hideMark/>
          </w:tcPr>
          <w:p w:rsidR="00B01C0D" w:rsidRPr="00B01C0D" w:rsidRDefault="00B01C0D" w:rsidP="00B01C0D">
            <w:pPr>
              <w:spacing w:after="0" w:line="240" w:lineRule="auto"/>
              <w:jc w:val="center"/>
              <w:rPr>
                <w:rFonts w:ascii="Calibri" w:eastAsia="Times New Roman" w:hAnsi="Calibri" w:cs="Calibri"/>
                <w:b/>
                <w:bCs/>
                <w:color w:val="FFFBF0"/>
              </w:rPr>
            </w:pPr>
            <w:r w:rsidRPr="00B01C0D">
              <w:rPr>
                <w:rFonts w:ascii="Calibri" w:eastAsia="Times New Roman" w:hAnsi="Calibri" w:cs="Calibri"/>
                <w:b/>
                <w:bCs/>
                <w:color w:val="FFFBF0"/>
              </w:rPr>
              <w:t xml:space="preserve">August 1-in-10 Average </w:t>
            </w:r>
            <w:r w:rsidR="00D660A3">
              <w:rPr>
                <w:rFonts w:ascii="Calibri" w:eastAsia="Times New Roman" w:hAnsi="Calibri" w:cs="Calibri"/>
                <w:b/>
                <w:bCs/>
                <w:color w:val="FFFBF0"/>
              </w:rPr>
              <w:t xml:space="preserve">12-6 PM </w:t>
            </w:r>
            <w:r w:rsidR="00D660A3" w:rsidRPr="00B01C0D">
              <w:rPr>
                <w:rFonts w:ascii="Calibri" w:eastAsia="Times New Roman" w:hAnsi="Calibri" w:cs="Calibri"/>
                <w:b/>
                <w:bCs/>
                <w:color w:val="FFFBF0"/>
              </w:rPr>
              <w:t xml:space="preserve"> </w:t>
            </w:r>
            <w:r w:rsidRPr="00B01C0D">
              <w:rPr>
                <w:rFonts w:ascii="Calibri" w:eastAsia="Times New Roman" w:hAnsi="Calibri" w:cs="Calibri"/>
                <w:b/>
                <w:bCs/>
                <w:color w:val="FFFBF0"/>
              </w:rPr>
              <w:t>Temperature (*F)</w:t>
            </w:r>
          </w:p>
        </w:tc>
      </w:tr>
      <w:tr w:rsidR="00B01C0D" w:rsidRPr="00B01C0D" w:rsidTr="00806233">
        <w:trPr>
          <w:trHeight w:val="300"/>
        </w:trPr>
        <w:tc>
          <w:tcPr>
            <w:tcW w:w="39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01C0D" w:rsidRPr="00806233" w:rsidRDefault="0094629C" w:rsidP="00B01C0D">
            <w:pPr>
              <w:spacing w:after="0" w:line="240" w:lineRule="auto"/>
              <w:jc w:val="center"/>
              <w:rPr>
                <w:rFonts w:eastAsia="Times New Roman" w:cs="Calibri"/>
                <w:b/>
                <w:bCs/>
                <w:color w:val="000000"/>
                <w:sz w:val="20"/>
                <w:szCs w:val="20"/>
              </w:rPr>
            </w:pPr>
            <w:r w:rsidRPr="0094629C">
              <w:rPr>
                <w:rFonts w:eastAsia="Times New Roman" w:cs="Calibri"/>
                <w:b/>
                <w:bCs/>
                <w:color w:val="000000"/>
                <w:sz w:val="20"/>
                <w:szCs w:val="20"/>
              </w:rPr>
              <w:t>PG&amp;E</w:t>
            </w: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Concord</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Livermore</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97</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101</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Milpitas</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Mountain View/Moffett</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83</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93</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Cupertino</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 Jose Intl</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90</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95</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 Ramon</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Livermore</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97</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99</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Greater Fresno</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Fresno</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Fresno Yosemite</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103</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110</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Humboldt</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Eureka</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Eureka</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67</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69</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Kern</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Bakersfield</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Bakersfield Meadows</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103</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108</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Northern Coast</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Sacramento</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Sacramento Met</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100</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104</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Northern Coast</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Santa Rosa</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Santa Rosa AWOS</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92</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92</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Other</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Salinas</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Salinas Muni</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76</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73</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Sierra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Auburn</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Beale AFB</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100</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95</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Stockton</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Stockton</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Stockton Metro</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100</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103</w:t>
            </w:r>
          </w:p>
        </w:tc>
      </w:tr>
      <w:tr w:rsidR="00B01C0D" w:rsidRPr="00B01C0D" w:rsidTr="00806233">
        <w:trPr>
          <w:trHeight w:val="300"/>
        </w:trPr>
        <w:tc>
          <w:tcPr>
            <w:tcW w:w="39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01C0D" w:rsidRPr="00806233" w:rsidRDefault="0094629C" w:rsidP="00B01C0D">
            <w:pPr>
              <w:spacing w:after="0" w:line="240" w:lineRule="auto"/>
              <w:jc w:val="center"/>
              <w:rPr>
                <w:rFonts w:eastAsia="Times New Roman" w:cs="Calibri"/>
                <w:b/>
                <w:bCs/>
                <w:color w:val="000000"/>
                <w:sz w:val="20"/>
                <w:szCs w:val="20"/>
              </w:rPr>
            </w:pPr>
            <w:r w:rsidRPr="0094629C">
              <w:rPr>
                <w:rFonts w:eastAsia="Times New Roman" w:cs="Calibri"/>
                <w:b/>
                <w:bCs/>
                <w:color w:val="000000"/>
                <w:sz w:val="20"/>
                <w:szCs w:val="20"/>
              </w:rPr>
              <w:t>SCE</w:t>
            </w: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LA Basin</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173</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El Toro MCAS</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91</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90</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Outside LA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132</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Burbank-Glendale-Pasadena</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97</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102</w:t>
            </w:r>
          </w:p>
        </w:tc>
      </w:tr>
      <w:tr w:rsidR="00B01C0D" w:rsidRPr="00B01C0D" w:rsidTr="00806233">
        <w:trPr>
          <w:trHeight w:val="300"/>
        </w:trPr>
        <w:tc>
          <w:tcPr>
            <w:tcW w:w="390" w:type="pct"/>
            <w:vMerge/>
            <w:tcBorders>
              <w:top w:val="nil"/>
              <w:left w:val="single" w:sz="4" w:space="0" w:color="auto"/>
              <w:bottom w:val="single" w:sz="4" w:space="0" w:color="auto"/>
              <w:right w:val="single" w:sz="4" w:space="0" w:color="auto"/>
            </w:tcBorders>
            <w:vAlign w:val="center"/>
            <w:hideMark/>
          </w:tcPr>
          <w:p w:rsidR="00B01C0D" w:rsidRPr="00806233" w:rsidRDefault="00B01C0D" w:rsidP="00B01C0D">
            <w:pPr>
              <w:spacing w:after="0" w:line="240" w:lineRule="auto"/>
              <w:rPr>
                <w:rFonts w:eastAsia="Times New Roman" w:cs="Calibri"/>
                <w:b/>
                <w:bCs/>
                <w:color w:val="000000"/>
                <w:sz w:val="20"/>
                <w:szCs w:val="20"/>
              </w:rPr>
            </w:pPr>
          </w:p>
        </w:tc>
        <w:tc>
          <w:tcPr>
            <w:tcW w:w="875"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Ventura</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193</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Lancaster</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102</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99</w:t>
            </w:r>
          </w:p>
        </w:tc>
      </w:tr>
      <w:tr w:rsidR="00B01C0D" w:rsidRPr="00B01C0D" w:rsidTr="00806233">
        <w:trPr>
          <w:trHeight w:val="300"/>
        </w:trPr>
        <w:tc>
          <w:tcPr>
            <w:tcW w:w="126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01C0D" w:rsidRPr="00806233" w:rsidRDefault="0094629C" w:rsidP="00806233">
            <w:pPr>
              <w:spacing w:after="0" w:line="240" w:lineRule="auto"/>
              <w:jc w:val="center"/>
              <w:rPr>
                <w:rFonts w:eastAsia="Times New Roman" w:cs="Calibri"/>
                <w:b/>
                <w:bCs/>
                <w:color w:val="000000"/>
                <w:sz w:val="20"/>
                <w:szCs w:val="20"/>
              </w:rPr>
            </w:pPr>
            <w:r w:rsidRPr="0094629C">
              <w:rPr>
                <w:rFonts w:eastAsia="Times New Roman" w:cs="Calibri"/>
                <w:b/>
                <w:bCs/>
                <w:color w:val="000000"/>
                <w:sz w:val="20"/>
                <w:szCs w:val="20"/>
              </w:rPr>
              <w:t>SDG&amp;E</w:t>
            </w:r>
          </w:p>
        </w:tc>
        <w:tc>
          <w:tcPr>
            <w:tcW w:w="793"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Lindbergh Field</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 Diego Lindbergh Field</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82</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81</w:t>
            </w:r>
          </w:p>
        </w:tc>
      </w:tr>
      <w:tr w:rsidR="00B01C0D" w:rsidRPr="00B01C0D" w:rsidTr="00806233">
        <w:trPr>
          <w:trHeight w:val="300"/>
        </w:trPr>
        <w:tc>
          <w:tcPr>
            <w:tcW w:w="1264" w:type="pct"/>
            <w:gridSpan w:val="2"/>
            <w:vMerge/>
            <w:tcBorders>
              <w:top w:val="single" w:sz="4" w:space="0" w:color="auto"/>
              <w:left w:val="single" w:sz="4" w:space="0" w:color="auto"/>
              <w:bottom w:val="single" w:sz="4" w:space="0" w:color="000000"/>
              <w:right w:val="single" w:sz="4" w:space="0" w:color="000000"/>
            </w:tcBorders>
            <w:vAlign w:val="center"/>
            <w:hideMark/>
          </w:tcPr>
          <w:p w:rsidR="00F73609" w:rsidRDefault="00F73609">
            <w:pPr>
              <w:spacing w:after="0" w:line="240" w:lineRule="auto"/>
              <w:jc w:val="center"/>
              <w:rPr>
                <w:rFonts w:eastAsia="Times New Roman" w:cs="Calibri"/>
                <w:b/>
                <w:bCs/>
                <w:color w:val="000000"/>
                <w:sz w:val="20"/>
                <w:szCs w:val="20"/>
              </w:rPr>
            </w:pPr>
          </w:p>
        </w:tc>
        <w:tc>
          <w:tcPr>
            <w:tcW w:w="793" w:type="pct"/>
            <w:tcBorders>
              <w:top w:val="nil"/>
              <w:left w:val="nil"/>
              <w:bottom w:val="single" w:sz="4" w:space="0" w:color="auto"/>
              <w:right w:val="single" w:sz="4" w:space="0" w:color="auto"/>
            </w:tcBorders>
            <w:shd w:val="clear" w:color="auto" w:fill="auto"/>
            <w:noWrap/>
            <w:vAlign w:val="center"/>
            <w:hideMark/>
          </w:tcPr>
          <w:p w:rsidR="00B01C0D" w:rsidRPr="00806233" w:rsidRDefault="0094629C" w:rsidP="00806233">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Miramar</w:t>
            </w:r>
          </w:p>
        </w:tc>
        <w:tc>
          <w:tcPr>
            <w:tcW w:w="1375"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San Diego Miramar NAS</w:t>
            </w:r>
          </w:p>
        </w:tc>
        <w:tc>
          <w:tcPr>
            <w:tcW w:w="75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88</w:t>
            </w:r>
          </w:p>
        </w:tc>
        <w:tc>
          <w:tcPr>
            <w:tcW w:w="809" w:type="pct"/>
            <w:tcBorders>
              <w:top w:val="nil"/>
              <w:left w:val="nil"/>
              <w:bottom w:val="single" w:sz="4" w:space="0" w:color="auto"/>
              <w:right w:val="single" w:sz="4" w:space="0" w:color="auto"/>
            </w:tcBorders>
            <w:shd w:val="clear" w:color="auto" w:fill="auto"/>
            <w:noWrap/>
            <w:vAlign w:val="center"/>
            <w:hideMark/>
          </w:tcPr>
          <w:p w:rsidR="00F73609" w:rsidRDefault="0094629C">
            <w:pPr>
              <w:spacing w:after="0" w:line="240" w:lineRule="auto"/>
              <w:jc w:val="center"/>
              <w:rPr>
                <w:rFonts w:eastAsia="Times New Roman" w:cs="Calibri"/>
                <w:color w:val="000000"/>
                <w:sz w:val="20"/>
                <w:szCs w:val="20"/>
              </w:rPr>
            </w:pPr>
            <w:r w:rsidRPr="0094629C">
              <w:rPr>
                <w:rFonts w:eastAsia="Times New Roman" w:cs="Calibri"/>
                <w:color w:val="000000"/>
                <w:sz w:val="20"/>
                <w:szCs w:val="20"/>
              </w:rPr>
              <w:t>87</w:t>
            </w:r>
          </w:p>
        </w:tc>
      </w:tr>
    </w:tbl>
    <w:p w:rsidR="00936EFD" w:rsidRDefault="00936EFD" w:rsidP="00BF20CC">
      <w:pPr>
        <w:pStyle w:val="BodyParagraph"/>
        <w:jc w:val="center"/>
      </w:pPr>
    </w:p>
    <w:p w:rsidR="00D660A3" w:rsidRDefault="00456B75" w:rsidP="003B47CB">
      <w:pPr>
        <w:pStyle w:val="BodyParagraph"/>
        <w:sectPr w:rsidR="00D660A3" w:rsidSect="00927D58">
          <w:pgSz w:w="12240" w:h="15840"/>
          <w:pgMar w:top="1440" w:right="1440" w:bottom="1440" w:left="1440" w:header="720" w:footer="720" w:gutter="0"/>
          <w:cols w:space="720"/>
          <w:docGrid w:linePitch="360"/>
        </w:sectPr>
      </w:pPr>
      <w:r>
        <w:t xml:space="preserve">The output from the DRQAT is estimated </w:t>
      </w:r>
      <w:r w:rsidR="0021276A">
        <w:t>chiller</w:t>
      </w:r>
      <w:r>
        <w:t xml:space="preserve"> load for each hour of the day under each of the conditions.  Since these estimates are for a representative building, they do not necessarily bear any relation to the projected peak shifting values fr</w:t>
      </w:r>
      <w:r w:rsidR="00CF6CFB">
        <w:t xml:space="preserve">om our enrollment forecast.  We then take the ratio of the DRQAT predicted loads under each set of ex ante conditions to the DRQAT </w:t>
      </w:r>
      <w:r w:rsidR="00605492">
        <w:t xml:space="preserve">predicted loads under the ASHRAE 2% conditions.  </w:t>
      </w:r>
      <w:r w:rsidR="00BF20CC">
        <w:t>Table 2-6 shows these ratios for each set of ex ante conditions for each weather station.</w:t>
      </w:r>
      <w:r w:rsidR="00D660A3">
        <w:t xml:space="preserve">  The table shows that the ratios follow the expected pattern, with higher ratios in the summer and lower in the spring and fall.  Also, 1-in-10 conditions almost always have higher ratios than 1-in-2 conditions, as expected.  </w:t>
      </w:r>
    </w:p>
    <w:p w:rsidR="00D660A3" w:rsidRPr="00774663" w:rsidRDefault="00D660A3" w:rsidP="00D660A3">
      <w:pPr>
        <w:pStyle w:val="BodyParagraph"/>
        <w:jc w:val="center"/>
        <w:rPr>
          <w:b/>
        </w:rPr>
      </w:pPr>
      <w:r w:rsidRPr="00774663">
        <w:rPr>
          <w:b/>
        </w:rPr>
        <w:t>Table 2-</w:t>
      </w:r>
      <w:r>
        <w:rPr>
          <w:b/>
        </w:rPr>
        <w:t>6</w:t>
      </w:r>
      <w:r w:rsidRPr="00774663">
        <w:rPr>
          <w:b/>
        </w:rPr>
        <w:t xml:space="preserve">:  </w:t>
      </w:r>
      <w:r>
        <w:rPr>
          <w:b/>
        </w:rPr>
        <w:t>Ratios between Peak Usage under Ex Ante Conditions and Peak Usage under ASHRAE 2% Conditions</w:t>
      </w:r>
    </w:p>
    <w:tbl>
      <w:tblPr>
        <w:tblW w:w="5301" w:type="pct"/>
        <w:tblInd w:w="-792" w:type="dxa"/>
        <w:tblLook w:val="04A0"/>
      </w:tblPr>
      <w:tblGrid>
        <w:gridCol w:w="929"/>
        <w:gridCol w:w="1461"/>
        <w:gridCol w:w="1434"/>
        <w:gridCol w:w="717"/>
        <w:gridCol w:w="732"/>
        <w:gridCol w:w="717"/>
        <w:gridCol w:w="732"/>
        <w:gridCol w:w="717"/>
        <w:gridCol w:w="732"/>
        <w:gridCol w:w="717"/>
        <w:gridCol w:w="732"/>
        <w:gridCol w:w="717"/>
        <w:gridCol w:w="732"/>
        <w:gridCol w:w="718"/>
        <w:gridCol w:w="732"/>
        <w:gridCol w:w="718"/>
        <w:gridCol w:w="732"/>
      </w:tblGrid>
      <w:tr w:rsidR="00D660A3" w:rsidRPr="004154EC" w:rsidTr="00D660A3">
        <w:trPr>
          <w:trHeight w:val="315"/>
        </w:trPr>
        <w:tc>
          <w:tcPr>
            <w:tcW w:w="333" w:type="pct"/>
            <w:vMerge w:val="restart"/>
            <w:tcBorders>
              <w:top w:val="single" w:sz="8" w:space="0" w:color="auto"/>
              <w:left w:val="single" w:sz="8" w:space="0" w:color="auto"/>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Utility</w:t>
            </w:r>
          </w:p>
        </w:tc>
        <w:tc>
          <w:tcPr>
            <w:tcW w:w="523" w:type="pct"/>
            <w:vMerge w:val="restart"/>
            <w:tcBorders>
              <w:top w:val="single" w:sz="8" w:space="0" w:color="auto"/>
              <w:left w:val="single" w:sz="8" w:space="0" w:color="auto"/>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LCA</w:t>
            </w:r>
          </w:p>
        </w:tc>
        <w:tc>
          <w:tcPr>
            <w:tcW w:w="513" w:type="pct"/>
            <w:vMerge w:val="restart"/>
            <w:tcBorders>
              <w:top w:val="single" w:sz="8" w:space="0" w:color="auto"/>
              <w:left w:val="single" w:sz="8" w:space="0" w:color="auto"/>
              <w:bottom w:val="single" w:sz="4" w:space="0" w:color="000000"/>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Weather Station</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April</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May</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June</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July</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August</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September</w:t>
            </w:r>
          </w:p>
        </w:tc>
        <w:tc>
          <w:tcPr>
            <w:tcW w:w="519" w:type="pct"/>
            <w:gridSpan w:val="2"/>
            <w:tcBorders>
              <w:top w:val="single" w:sz="8" w:space="0" w:color="auto"/>
              <w:left w:val="nil"/>
              <w:bottom w:val="single" w:sz="8" w:space="0" w:color="auto"/>
              <w:right w:val="single" w:sz="8" w:space="0" w:color="000000"/>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October</w:t>
            </w:r>
          </w:p>
        </w:tc>
      </w:tr>
      <w:tr w:rsidR="00D660A3" w:rsidRPr="004154EC" w:rsidTr="00D660A3">
        <w:trPr>
          <w:trHeight w:val="300"/>
        </w:trPr>
        <w:tc>
          <w:tcPr>
            <w:tcW w:w="333" w:type="pct"/>
            <w:vMerge/>
            <w:tcBorders>
              <w:top w:val="single" w:sz="8" w:space="0" w:color="auto"/>
              <w:left w:val="single" w:sz="8" w:space="0" w:color="auto"/>
              <w:bottom w:val="nil"/>
              <w:right w:val="single" w:sz="8" w:space="0" w:color="auto"/>
            </w:tcBorders>
            <w:vAlign w:val="center"/>
            <w:hideMark/>
          </w:tcPr>
          <w:p w:rsidR="00D660A3" w:rsidRPr="003B47CB" w:rsidRDefault="00D660A3" w:rsidP="00D660A3">
            <w:pPr>
              <w:spacing w:after="0" w:line="240" w:lineRule="auto"/>
              <w:rPr>
                <w:rFonts w:ascii="Arial" w:eastAsia="Times New Roman" w:hAnsi="Arial" w:cs="Arial"/>
                <w:b/>
                <w:bCs/>
                <w:color w:val="FFFFFF"/>
                <w:sz w:val="16"/>
                <w:szCs w:val="16"/>
              </w:rPr>
            </w:pPr>
          </w:p>
        </w:tc>
        <w:tc>
          <w:tcPr>
            <w:tcW w:w="523" w:type="pct"/>
            <w:vMerge/>
            <w:tcBorders>
              <w:top w:val="single" w:sz="8" w:space="0" w:color="auto"/>
              <w:left w:val="single" w:sz="8" w:space="0" w:color="auto"/>
              <w:bottom w:val="nil"/>
              <w:right w:val="single" w:sz="8" w:space="0" w:color="auto"/>
            </w:tcBorders>
            <w:vAlign w:val="center"/>
            <w:hideMark/>
          </w:tcPr>
          <w:p w:rsidR="00D660A3" w:rsidRPr="003B47CB" w:rsidRDefault="00D660A3" w:rsidP="00D660A3">
            <w:pPr>
              <w:spacing w:after="0" w:line="240" w:lineRule="auto"/>
              <w:rPr>
                <w:rFonts w:ascii="Arial" w:eastAsia="Times New Roman" w:hAnsi="Arial" w:cs="Arial"/>
                <w:b/>
                <w:bCs/>
                <w:color w:val="FFFFFF"/>
                <w:sz w:val="16"/>
                <w:szCs w:val="16"/>
              </w:rPr>
            </w:pPr>
          </w:p>
        </w:tc>
        <w:tc>
          <w:tcPr>
            <w:tcW w:w="513" w:type="pct"/>
            <w:vMerge/>
            <w:tcBorders>
              <w:top w:val="single" w:sz="8" w:space="0" w:color="auto"/>
              <w:left w:val="single" w:sz="8" w:space="0" w:color="auto"/>
              <w:bottom w:val="single" w:sz="4" w:space="0" w:color="000000"/>
              <w:right w:val="single" w:sz="8" w:space="0" w:color="auto"/>
            </w:tcBorders>
            <w:vAlign w:val="center"/>
            <w:hideMark/>
          </w:tcPr>
          <w:p w:rsidR="00D660A3" w:rsidRPr="003B47CB" w:rsidRDefault="00D660A3" w:rsidP="00D660A3">
            <w:pPr>
              <w:spacing w:after="0" w:line="240" w:lineRule="auto"/>
              <w:rPr>
                <w:rFonts w:ascii="Arial" w:eastAsia="Times New Roman" w:hAnsi="Arial" w:cs="Arial"/>
                <w:b/>
                <w:bCs/>
                <w:color w:val="FFFFFF"/>
                <w:sz w:val="16"/>
                <w:szCs w:val="16"/>
              </w:rPr>
            </w:pP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c>
          <w:tcPr>
            <w:tcW w:w="257"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1-in-2</w:t>
            </w:r>
          </w:p>
        </w:tc>
        <w:tc>
          <w:tcPr>
            <w:tcW w:w="262" w:type="pct"/>
            <w:tcBorders>
              <w:top w:val="nil"/>
              <w:left w:val="nil"/>
              <w:bottom w:val="nil"/>
              <w:right w:val="single" w:sz="8" w:space="0" w:color="auto"/>
            </w:tcBorders>
            <w:shd w:val="clear" w:color="000000" w:fill="1F497D"/>
            <w:noWrap/>
            <w:vAlign w:val="center"/>
            <w:hideMark/>
          </w:tcPr>
          <w:p w:rsidR="00D660A3" w:rsidRPr="003B47CB" w:rsidRDefault="00D660A3" w:rsidP="00D660A3">
            <w:pPr>
              <w:spacing w:after="0" w:line="240" w:lineRule="auto"/>
              <w:jc w:val="center"/>
              <w:rPr>
                <w:rFonts w:ascii="Arial" w:eastAsia="Times New Roman" w:hAnsi="Arial" w:cs="Arial"/>
                <w:b/>
                <w:bCs/>
                <w:color w:val="FFFFFF"/>
                <w:sz w:val="16"/>
                <w:szCs w:val="16"/>
              </w:rPr>
            </w:pPr>
            <w:r w:rsidRPr="003B47CB">
              <w:rPr>
                <w:rFonts w:ascii="Arial" w:eastAsia="Times New Roman" w:hAnsi="Arial" w:cs="Arial"/>
                <w:b/>
                <w:bCs/>
                <w:color w:val="FFFFFF"/>
                <w:sz w:val="16"/>
                <w:szCs w:val="16"/>
              </w:rPr>
              <w:t>1-in-10</w:t>
            </w:r>
          </w:p>
        </w:tc>
      </w:tr>
      <w:tr w:rsidR="00D660A3" w:rsidRPr="004154EC" w:rsidTr="00D660A3">
        <w:trPr>
          <w:trHeight w:val="300"/>
        </w:trPr>
        <w:tc>
          <w:tcPr>
            <w:tcW w:w="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b/>
                <w:bCs/>
                <w:color w:val="000000"/>
                <w:sz w:val="16"/>
                <w:szCs w:val="16"/>
              </w:rPr>
            </w:pPr>
            <w:r w:rsidRPr="003B47CB">
              <w:rPr>
                <w:rFonts w:ascii="Arial" w:eastAsia="Times New Roman" w:hAnsi="Arial" w:cs="Arial"/>
                <w:b/>
                <w:bCs/>
                <w:color w:val="000000"/>
                <w:sz w:val="16"/>
                <w:szCs w:val="16"/>
              </w:rPr>
              <w:t>PG&amp;E</w:t>
            </w:r>
          </w:p>
        </w:tc>
        <w:tc>
          <w:tcPr>
            <w:tcW w:w="52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Greater Bay Area</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Concord</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0.57</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0.77</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1.11</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1.14</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1.09</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1.07</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1.05</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0.99</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D660A3" w:rsidRPr="003B47CB" w:rsidRDefault="00D660A3" w:rsidP="00D660A3">
            <w:pPr>
              <w:spacing w:after="0" w:line="240" w:lineRule="auto"/>
              <w:rPr>
                <w:rFonts w:ascii="Arial" w:eastAsia="Times New Roman" w:hAnsi="Arial" w:cs="Arial"/>
                <w:color w:val="000000"/>
                <w:sz w:val="16"/>
                <w:szCs w:val="16"/>
              </w:rPr>
            </w:pP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Milpitas</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1.23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1.47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1.67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1.59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1.60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1.47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1.50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1.56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1.09</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D660A3" w:rsidRPr="003B47CB" w:rsidRDefault="00D660A3" w:rsidP="00D660A3">
            <w:pPr>
              <w:spacing w:after="0" w:line="240" w:lineRule="auto"/>
              <w:rPr>
                <w:rFonts w:ascii="Arial" w:eastAsia="Times New Roman" w:hAnsi="Arial" w:cs="Arial"/>
                <w:color w:val="000000"/>
                <w:sz w:val="16"/>
                <w:szCs w:val="16"/>
              </w:rPr>
            </w:pP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Cupertino</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0.35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0.73</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D660A3" w:rsidRPr="003B47CB" w:rsidRDefault="00D660A3" w:rsidP="00D660A3">
            <w:pPr>
              <w:spacing w:after="0" w:line="240" w:lineRule="auto"/>
              <w:rPr>
                <w:rFonts w:ascii="Arial" w:eastAsia="Times New Roman" w:hAnsi="Arial" w:cs="Arial"/>
                <w:color w:val="000000"/>
                <w:sz w:val="16"/>
                <w:szCs w:val="16"/>
              </w:rPr>
            </w:pP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San Ramon</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1.04</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0.94</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Greater Fresno</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Fresno</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Humboldt</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Eureka</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0.20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0.37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1.42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1.65</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Kern</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Bakersfield</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Northern Coast</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Sacramento</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vMerge/>
            <w:tcBorders>
              <w:top w:val="nil"/>
              <w:left w:val="single" w:sz="4" w:space="0" w:color="auto"/>
              <w:bottom w:val="single" w:sz="4" w:space="0" w:color="000000"/>
              <w:right w:val="single" w:sz="4" w:space="0" w:color="auto"/>
            </w:tcBorders>
            <w:vAlign w:val="center"/>
            <w:hideMark/>
          </w:tcPr>
          <w:p w:rsidR="00D660A3" w:rsidRPr="003B47CB" w:rsidRDefault="00D660A3" w:rsidP="00D660A3">
            <w:pPr>
              <w:spacing w:after="0" w:line="240" w:lineRule="auto"/>
              <w:rPr>
                <w:rFonts w:ascii="Arial" w:eastAsia="Times New Roman" w:hAnsi="Arial" w:cs="Arial"/>
                <w:color w:val="000000"/>
                <w:sz w:val="16"/>
                <w:szCs w:val="16"/>
              </w:rPr>
            </w:pP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Santa Rosa</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D660A3" w:rsidRDefault="00D660A3" w:rsidP="00D660A3">
            <w:pPr>
              <w:spacing w:after="0" w:line="240" w:lineRule="auto"/>
              <w:jc w:val="center"/>
              <w:rPr>
                <w:rFonts w:ascii="Arial" w:eastAsia="Times New Roman" w:hAnsi="Arial" w:cs="Arial"/>
                <w:color w:val="000000"/>
                <w:sz w:val="16"/>
                <w:szCs w:val="16"/>
              </w:rPr>
            </w:pPr>
            <w:r w:rsidRPr="00D660A3">
              <w:rPr>
                <w:rFonts w:ascii="Arial" w:eastAsia="Times New Roman" w:hAnsi="Arial" w:cs="Arial"/>
                <w:color w:val="000000"/>
                <w:sz w:val="16"/>
                <w:szCs w:val="16"/>
              </w:rPr>
              <w:t>Other</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Salinas</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0.74</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0.34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1.25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2.10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1.21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0.43</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D660A3" w:rsidRDefault="00D660A3" w:rsidP="00D660A3">
            <w:pPr>
              <w:spacing w:after="0" w:line="240" w:lineRule="auto"/>
              <w:jc w:val="center"/>
              <w:rPr>
                <w:rFonts w:ascii="Arial" w:eastAsia="Times New Roman" w:hAnsi="Arial" w:cs="Arial"/>
                <w:color w:val="000000"/>
                <w:sz w:val="16"/>
                <w:szCs w:val="16"/>
              </w:rPr>
            </w:pPr>
            <w:r w:rsidRPr="00D660A3">
              <w:rPr>
                <w:rFonts w:ascii="Arial" w:eastAsia="Times New Roman" w:hAnsi="Arial" w:cs="Arial"/>
                <w:color w:val="000000"/>
                <w:sz w:val="16"/>
                <w:szCs w:val="16"/>
              </w:rPr>
              <w:t>Sierra</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Auburn</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r>
      <w:tr w:rsidR="00D660A3" w:rsidRPr="004154EC" w:rsidTr="00D660A3">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D660A3" w:rsidRDefault="00D660A3" w:rsidP="00D660A3">
            <w:pPr>
              <w:spacing w:after="0" w:line="240" w:lineRule="auto"/>
              <w:jc w:val="center"/>
              <w:rPr>
                <w:rFonts w:ascii="Arial" w:eastAsia="Times New Roman" w:hAnsi="Arial" w:cs="Arial"/>
                <w:color w:val="000000"/>
                <w:sz w:val="16"/>
                <w:szCs w:val="16"/>
              </w:rPr>
            </w:pPr>
            <w:r w:rsidRPr="00D660A3">
              <w:rPr>
                <w:rFonts w:ascii="Arial" w:eastAsia="Times New Roman" w:hAnsi="Arial" w:cs="Arial"/>
                <w:color w:val="000000"/>
                <w:sz w:val="16"/>
                <w:szCs w:val="16"/>
              </w:rPr>
              <w:t>Stockton</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Stockton</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1.10</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0.94</w:t>
            </w:r>
          </w:p>
        </w:tc>
      </w:tr>
      <w:tr w:rsidR="00D660A3" w:rsidRPr="004154EC" w:rsidTr="00D660A3">
        <w:trPr>
          <w:trHeight w:val="300"/>
        </w:trPr>
        <w:tc>
          <w:tcPr>
            <w:tcW w:w="3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b/>
                <w:bCs/>
                <w:color w:val="000000"/>
                <w:sz w:val="16"/>
                <w:szCs w:val="16"/>
              </w:rPr>
            </w:pPr>
            <w:r w:rsidRPr="003B47CB">
              <w:rPr>
                <w:rFonts w:ascii="Arial" w:eastAsia="Times New Roman" w:hAnsi="Arial" w:cs="Arial"/>
                <w:b/>
                <w:bCs/>
                <w:color w:val="000000"/>
                <w:sz w:val="16"/>
                <w:szCs w:val="16"/>
              </w:rPr>
              <w:t>SCE</w:t>
            </w: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LA Basin</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173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0.52</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0.86</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0.99</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r>
      <w:tr w:rsidR="00D660A3" w:rsidRPr="004154EC" w:rsidTr="00D660A3">
        <w:trPr>
          <w:trHeight w:val="300"/>
        </w:trPr>
        <w:tc>
          <w:tcPr>
            <w:tcW w:w="333" w:type="pct"/>
            <w:vMerge/>
            <w:tcBorders>
              <w:top w:val="nil"/>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Outside LA Basin</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132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0.88</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0.99</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1.05</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0.96</w:t>
            </w:r>
          </w:p>
        </w:tc>
      </w:tr>
      <w:tr w:rsidR="00D660A3" w:rsidRPr="004154EC" w:rsidTr="00D660A3">
        <w:trPr>
          <w:trHeight w:val="300"/>
        </w:trPr>
        <w:tc>
          <w:tcPr>
            <w:tcW w:w="333" w:type="pct"/>
            <w:vMerge/>
            <w:tcBorders>
              <w:top w:val="nil"/>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rPr>
                <w:rFonts w:ascii="Arial" w:eastAsia="Times New Roman" w:hAnsi="Arial" w:cs="Arial"/>
                <w:b/>
                <w:bCs/>
                <w:color w:val="000000"/>
                <w:sz w:val="16"/>
                <w:szCs w:val="16"/>
              </w:rPr>
            </w:pPr>
          </w:p>
        </w:tc>
        <w:tc>
          <w:tcPr>
            <w:tcW w:w="52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Ventura</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193</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0.74</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0.94</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0.90</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0.91</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0.97</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0.86</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0.92</w:t>
            </w:r>
          </w:p>
        </w:tc>
        <w:tc>
          <w:tcPr>
            <w:tcW w:w="257"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0.43</w:t>
            </w:r>
          </w:p>
        </w:tc>
        <w:tc>
          <w:tcPr>
            <w:tcW w:w="262" w:type="pct"/>
            <w:tcBorders>
              <w:top w:val="nil"/>
              <w:left w:val="nil"/>
              <w:bottom w:val="single" w:sz="4" w:space="0" w:color="auto"/>
              <w:right w:val="single" w:sz="4" w:space="0" w:color="auto"/>
            </w:tcBorders>
            <w:shd w:val="clear" w:color="auto" w:fill="auto"/>
            <w:noWrap/>
            <w:vAlign w:val="center"/>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0.69</w:t>
            </w:r>
          </w:p>
        </w:tc>
      </w:tr>
      <w:tr w:rsidR="00D660A3" w:rsidRPr="004154EC" w:rsidTr="00D660A3">
        <w:trPr>
          <w:trHeight w:val="300"/>
        </w:trPr>
        <w:tc>
          <w:tcPr>
            <w:tcW w:w="855" w:type="pct"/>
            <w:gridSpan w:val="2"/>
            <w:vMerge w:val="restart"/>
            <w:tcBorders>
              <w:top w:val="nil"/>
              <w:left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Arial" w:eastAsia="Times New Roman" w:hAnsi="Arial" w:cs="Arial"/>
                <w:b/>
                <w:bCs/>
                <w:color w:val="000000"/>
                <w:sz w:val="16"/>
                <w:szCs w:val="16"/>
              </w:rPr>
            </w:pPr>
            <w:r>
              <w:rPr>
                <w:rFonts w:ascii="Arial" w:eastAsia="Times New Roman" w:hAnsi="Arial" w:cs="Arial"/>
                <w:b/>
                <w:bCs/>
                <w:color w:val="000000"/>
                <w:sz w:val="16"/>
                <w:szCs w:val="16"/>
              </w:rPr>
              <w:t>SDG&amp;</w:t>
            </w:r>
            <w:r w:rsidRPr="003B47CB">
              <w:rPr>
                <w:rFonts w:ascii="Arial" w:eastAsia="Times New Roman" w:hAnsi="Arial" w:cs="Arial"/>
                <w:b/>
                <w:bCs/>
                <w:color w:val="000000"/>
                <w:sz w:val="16"/>
                <w:szCs w:val="16"/>
              </w:rPr>
              <w:t>E</w:t>
            </w: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Lindberg Field</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0.77</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1.03</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0.61</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1.00</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0.59</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0.57</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0.79</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0.90</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0.70</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0.69</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1.11</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0.83</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1.18</w:t>
            </w:r>
          </w:p>
        </w:tc>
      </w:tr>
      <w:tr w:rsidR="00D660A3" w:rsidRPr="004154EC" w:rsidTr="00D660A3">
        <w:trPr>
          <w:trHeight w:val="300"/>
        </w:trPr>
        <w:tc>
          <w:tcPr>
            <w:tcW w:w="855" w:type="pct"/>
            <w:gridSpan w:val="2"/>
            <w:vMerge/>
            <w:tcBorders>
              <w:left w:val="single" w:sz="4" w:space="0" w:color="auto"/>
              <w:bottom w:val="single" w:sz="4" w:space="0" w:color="auto"/>
              <w:right w:val="single" w:sz="4" w:space="0" w:color="auto"/>
            </w:tcBorders>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p>
        </w:tc>
        <w:tc>
          <w:tcPr>
            <w:tcW w:w="513" w:type="pct"/>
            <w:tcBorders>
              <w:top w:val="nil"/>
              <w:left w:val="nil"/>
              <w:bottom w:val="single" w:sz="4" w:space="0" w:color="auto"/>
              <w:right w:val="single" w:sz="4" w:space="0" w:color="auto"/>
            </w:tcBorders>
            <w:shd w:val="clear" w:color="auto" w:fill="auto"/>
            <w:noWrap/>
            <w:vAlign w:val="center"/>
            <w:hideMark/>
          </w:tcPr>
          <w:p w:rsidR="00D660A3" w:rsidRPr="003B47CB" w:rsidRDefault="00D660A3" w:rsidP="00D660A3">
            <w:pPr>
              <w:spacing w:after="0" w:line="240" w:lineRule="auto"/>
              <w:jc w:val="center"/>
              <w:rPr>
                <w:rFonts w:ascii="Arial" w:eastAsia="Times New Roman" w:hAnsi="Arial" w:cs="Arial"/>
                <w:color w:val="000000"/>
                <w:sz w:val="16"/>
                <w:szCs w:val="16"/>
              </w:rPr>
            </w:pPr>
            <w:r w:rsidRPr="003B47CB">
              <w:rPr>
                <w:rFonts w:ascii="Arial" w:eastAsia="Times New Roman" w:hAnsi="Arial" w:cs="Arial"/>
                <w:color w:val="000000"/>
                <w:sz w:val="16"/>
                <w:szCs w:val="16"/>
              </w:rPr>
              <w:t>Miramar</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0.58</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0.90</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0.47</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0.98</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0.53</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0.57</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0.85</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0.89</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0.78</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0.92</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1.06</w:t>
            </w:r>
          </w:p>
        </w:tc>
        <w:tc>
          <w:tcPr>
            <w:tcW w:w="257"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1.01</w:t>
            </w:r>
          </w:p>
        </w:tc>
        <w:tc>
          <w:tcPr>
            <w:tcW w:w="262" w:type="pct"/>
            <w:tcBorders>
              <w:top w:val="nil"/>
              <w:left w:val="nil"/>
              <w:bottom w:val="single" w:sz="4" w:space="0" w:color="auto"/>
              <w:right w:val="single" w:sz="4" w:space="0" w:color="auto"/>
            </w:tcBorders>
            <w:shd w:val="clear" w:color="auto" w:fill="auto"/>
            <w:noWrap/>
            <w:vAlign w:val="center"/>
            <w:hideMark/>
          </w:tcPr>
          <w:p w:rsidR="00D660A3" w:rsidRPr="00165FF6" w:rsidRDefault="00D660A3" w:rsidP="00D660A3">
            <w:pPr>
              <w:spacing w:after="0" w:line="240" w:lineRule="auto"/>
              <w:jc w:val="center"/>
              <w:rPr>
                <w:rFonts w:ascii="Calibri" w:hAnsi="Calibri" w:cs="Calibri"/>
                <w:color w:val="000000"/>
                <w:sz w:val="16"/>
                <w:szCs w:val="16"/>
              </w:rPr>
            </w:pPr>
            <w:r w:rsidRPr="00165FF6">
              <w:rPr>
                <w:rFonts w:ascii="Calibri" w:hAnsi="Calibri" w:cs="Calibri"/>
                <w:color w:val="000000"/>
                <w:sz w:val="16"/>
                <w:szCs w:val="16"/>
              </w:rPr>
              <w:t>0.95</w:t>
            </w:r>
          </w:p>
        </w:tc>
      </w:tr>
    </w:tbl>
    <w:p w:rsidR="00D660A3" w:rsidRDefault="00D660A3" w:rsidP="003B47CB">
      <w:pPr>
        <w:pStyle w:val="BodyParagraph"/>
        <w:sectPr w:rsidR="00D660A3" w:rsidSect="00D660A3">
          <w:pgSz w:w="15840" w:h="12240" w:orient="landscape"/>
          <w:pgMar w:top="1440" w:right="1440" w:bottom="1440" w:left="1440" w:header="720" w:footer="720" w:gutter="0"/>
          <w:cols w:space="720"/>
          <w:docGrid w:linePitch="360"/>
        </w:sectPr>
      </w:pPr>
    </w:p>
    <w:p w:rsidR="00605492" w:rsidRDefault="00456B75" w:rsidP="00992D72">
      <w:pPr>
        <w:pStyle w:val="BodyParaAfterTableFigure"/>
      </w:pPr>
      <w:r>
        <w:t>The final step for estimating load impacts is</w:t>
      </w:r>
      <w:r w:rsidR="004F5071">
        <w:t xml:space="preserve"> to</w:t>
      </w:r>
      <w:r w:rsidR="00605492">
        <w:t xml:space="preserve"> multiply that ratio by the peak shift values underlying Table 2-1 to produce estimates of peak load shifting under each set of ex ante weather conditions.</w:t>
      </w:r>
    </w:p>
    <w:p w:rsidR="0021276A" w:rsidRPr="003B47CB" w:rsidRDefault="00605492" w:rsidP="003B47CB">
      <w:pPr>
        <w:pStyle w:val="BodyParaAfterTableFigure"/>
      </w:pPr>
      <w:r>
        <w:t xml:space="preserve">As an example of the full calculation, we take the Kern LCA within PG&amp;E’s territory.  There is only one weather station associated with this LCA:  Bakersfield.  </w:t>
      </w:r>
      <w:r w:rsidR="00644341">
        <w:t>Prior to June 201</w:t>
      </w:r>
      <w:r w:rsidR="005C1499">
        <w:t>4</w:t>
      </w:r>
      <w:r w:rsidR="00644341">
        <w:t>, we expect 650 kW of peak shift capacity to be installed in this LCA and near this weather station.  Under ASHRAE 2% weather conditions for this area, our representative building is pred</w:t>
      </w:r>
      <w:r w:rsidR="00165FF6">
        <w:t>icted to require an average of 29</w:t>
      </w:r>
      <w:r w:rsidR="00644341">
        <w:t xml:space="preserve"> kW of </w:t>
      </w:r>
      <w:r w:rsidR="0021276A">
        <w:t>chiller</w:t>
      </w:r>
      <w:r w:rsidR="00644341">
        <w:t xml:space="preserve"> load over the period 1-6 PM.  Under May 1-in-2 peak day conditions, the same building is exp</w:t>
      </w:r>
      <w:r w:rsidR="00F96663">
        <w:t>ected to require an average of 25</w:t>
      </w:r>
      <w:r w:rsidR="00644341">
        <w:t xml:space="preserve"> kW of </w:t>
      </w:r>
      <w:r w:rsidR="0021276A">
        <w:t xml:space="preserve">chiller </w:t>
      </w:r>
      <w:r w:rsidR="00644341">
        <w:t>load over the period 1</w:t>
      </w:r>
      <w:r w:rsidR="00165FF6">
        <w:t>2</w:t>
      </w:r>
      <w:r w:rsidR="00644341">
        <w:t>-6 PM.  Therefore, we expect that the May 1-in-2 peak day load shift from this site would be 650 kW x (</w:t>
      </w:r>
      <w:r w:rsidR="00165FF6">
        <w:t>25/29)=558</w:t>
      </w:r>
      <w:r w:rsidR="00644341">
        <w:t xml:space="preserve"> kW.  The same calculation is repeated for each set of conditions and for each weather station under each LCA.  </w:t>
      </w:r>
    </w:p>
    <w:p w:rsidR="00B5554C" w:rsidRDefault="001C35AF" w:rsidP="00D5138E">
      <w:pPr>
        <w:pStyle w:val="Heading1"/>
      </w:pPr>
      <w:bookmarkStart w:id="4" w:name="_Toc352168939"/>
      <w:r>
        <w:t>Ex Ante Impact Estimates</w:t>
      </w:r>
      <w:bookmarkEnd w:id="4"/>
    </w:p>
    <w:p w:rsidR="004D17C7" w:rsidRDefault="00B5554C" w:rsidP="001C35AF">
      <w:pPr>
        <w:pStyle w:val="BodyParagraph"/>
      </w:pPr>
      <w:r w:rsidRPr="00EB1041">
        <w:t xml:space="preserve">This section </w:t>
      </w:r>
      <w:r w:rsidR="0021276A">
        <w:t>provides the ex ante impact estimates</w:t>
      </w:r>
      <w:r w:rsidR="00132976">
        <w:t xml:space="preserve"> for peak day conditions during April-October.  Estimates for average weekdays can be found in the Excel load impact tables that accompany this evaluation</w:t>
      </w:r>
      <w:r w:rsidR="0021276A">
        <w:t xml:space="preserve">.  </w:t>
      </w:r>
      <w:r w:rsidR="00AB5E8C">
        <w:t xml:space="preserve">The program will not be underway for summer 2013, so no load shifting is expected during 2013.  </w:t>
      </w:r>
      <w:r w:rsidR="004D17C7">
        <w:t>Also, load impacts during the months November-March are expected to be zero or nearly zero due to lack of significant cooling load in most areas</w:t>
      </w:r>
      <w:r w:rsidR="00BB54F0">
        <w:t xml:space="preserve"> and because customers will not be required to run their systems during those months</w:t>
      </w:r>
      <w:r w:rsidR="004D17C7">
        <w:t>.  Therefore estimates have not been developed for those months.  If in the future, installations occur in areas where there is significant winter cooling load and if customers appear to be shifting during those times, it may make sense to estimate impacts for those months.</w:t>
      </w:r>
    </w:p>
    <w:p w:rsidR="004D17C7" w:rsidRDefault="0021276A" w:rsidP="001C35AF">
      <w:pPr>
        <w:pStyle w:val="BodyParagraph"/>
      </w:pPr>
      <w:r>
        <w:t xml:space="preserve">Table 3-1 shows the ex ante impact forecast for each LCA of each utility for </w:t>
      </w:r>
      <w:r w:rsidR="00633E45">
        <w:t>April</w:t>
      </w:r>
      <w:r w:rsidR="00AB5E8C">
        <w:t xml:space="preserve">-October of 2014.  </w:t>
      </w:r>
      <w:r w:rsidR="004D17C7">
        <w:t>April-October is the resource adequacy summer period.  Although technically customers do not have to run their systems during April, and SCE customers do not have to run their systems during May or October</w:t>
      </w:r>
      <w:r w:rsidR="00BB54F0">
        <w:t xml:space="preserve"> (according to proposed program rules</w:t>
      </w:r>
      <w:r w:rsidR="00696A8C">
        <w:t xml:space="preserve"> as in Table 1-1</w:t>
      </w:r>
      <w:r w:rsidR="00BB54F0">
        <w:t>)</w:t>
      </w:r>
      <w:r w:rsidR="004D17C7">
        <w:t xml:space="preserve">, customers may choose to simply run their systems when cooling starts to be a regular necessity.  It is uncertain whether that pattern will develop, and it depends on how advantageous customers perceive it to be financially to run their systems and how easy it is to run their systems.  For that reason, April impacts, and May and October impacts for SCE should be taken to include more uncertainty than the others.  </w:t>
      </w:r>
    </w:p>
    <w:p w:rsidR="009B7596" w:rsidRDefault="00D660A3" w:rsidP="001C35AF">
      <w:pPr>
        <w:pStyle w:val="BodyParagraph"/>
      </w:pPr>
      <w:r>
        <w:t>Table 3-2 shows the ex ante forecast for 2015.  For simplicity, we have assumed that all installations occur during the period October-</w:t>
      </w:r>
      <w:r w:rsidR="00633E45">
        <w:t>March</w:t>
      </w:r>
      <w:r>
        <w:t>, which means that the underlying number of sites within each table is constant</w:t>
      </w:r>
      <w:r w:rsidR="00132976">
        <w:t>.</w:t>
      </w:r>
      <w:r w:rsidR="009B7596">
        <w:t xml:space="preserve">  In each table, the ex ante impacts during the months of July and August match fairly closely the enrollment forecast based estimates from Table 2-1.  This makes sense given that our methodology uses those estimates as a basis and that the ASHRAE 2% conditions are fairly similar to the summer ex ante conditions.</w:t>
      </w:r>
    </w:p>
    <w:p w:rsidR="009F1F7A" w:rsidRDefault="009516A6" w:rsidP="001C35AF">
      <w:pPr>
        <w:pStyle w:val="BodyParagraph"/>
      </w:pPr>
      <w:r>
        <w:t xml:space="preserve">Note that in some cases surprising patterns may appear due to the discrete nature of the installations.  For example, in the Greater Bay Area in 2014, May 1-in-2 conditions produce higher impacts than April 1-in-2 conditions, while the reverse is true in 2015.  This is because in 2014 we only project two sites, which </w:t>
      </w:r>
      <w:r w:rsidR="002A080E">
        <w:t>must be assigned to two of</w:t>
      </w:r>
      <w:r>
        <w:t xml:space="preserve"> the four weather stations assigned to the Greater Bay Area.  </w:t>
      </w:r>
      <w:r w:rsidR="002A080E">
        <w:t>W</w:t>
      </w:r>
      <w:r>
        <w:t xml:space="preserve">e project that the first two sites will be near Concord and Milpitas, and that in 2015 sites will be added near San Ramon and Cupertino.  This means that the relative load impacts with respect to </w:t>
      </w:r>
      <w:r w:rsidR="002A080E">
        <w:t xml:space="preserve">ex ante </w:t>
      </w:r>
      <w:r>
        <w:t xml:space="preserve">weather </w:t>
      </w:r>
      <w:r w:rsidR="002A080E">
        <w:t>conditions change</w:t>
      </w:r>
      <w:r>
        <w:t xml:space="preserve"> between the two years, but remain stable past 2014.</w:t>
      </w:r>
    </w:p>
    <w:p w:rsidR="009F1F7A" w:rsidRDefault="009F1F7A" w:rsidP="001C35AF">
      <w:pPr>
        <w:pStyle w:val="BodyParagraph"/>
        <w:sectPr w:rsidR="009F1F7A" w:rsidSect="00927D58">
          <w:pgSz w:w="12240" w:h="15840"/>
          <w:pgMar w:top="1440" w:right="1440" w:bottom="1440" w:left="1440" w:header="720" w:footer="720" w:gutter="0"/>
          <w:cols w:space="720"/>
          <w:docGrid w:linePitch="360"/>
        </w:sectPr>
      </w:pPr>
      <w:r>
        <w:t xml:space="preserve">Our ex ante forecasts focus on load impacts during the peak period.  It is important to understand that these impacts represent load that is shifted, not eliminated.  This is evident in the excel tables that accompany this report.  In those tables, we assume that all avoided peak period load, plus an additional 5%, is consumed during the hours of 9 PM – 6 AM.  PLS systems are required to use </w:t>
      </w:r>
      <w:proofErr w:type="gramStart"/>
      <w:r>
        <w:t xml:space="preserve">no more than 5% additional energy than </w:t>
      </w:r>
      <w:r w:rsidR="0097297F">
        <w:t>the baseline system</w:t>
      </w:r>
      <w:proofErr w:type="gramEnd"/>
      <w:r w:rsidR="0097297F">
        <w:t xml:space="preserve">.  Because not all cooling load comes during the peak period and we have only added 5% to the shifted peak period load, our assumption implies that the 5% limit will be binding for many, but not all sites. </w:t>
      </w:r>
    </w:p>
    <w:p w:rsidR="00AB5E8C" w:rsidRDefault="00AB5E8C" w:rsidP="00FE3BF6">
      <w:pPr>
        <w:pStyle w:val="BodyParagraph"/>
        <w:rPr>
          <w:b/>
        </w:rPr>
      </w:pPr>
      <w:r w:rsidRPr="00AB5E8C">
        <w:rPr>
          <w:b/>
        </w:rPr>
        <w:t xml:space="preserve">Table 3-1: Ex Ante Impact Estimates </w:t>
      </w:r>
      <w:r w:rsidR="00927D58">
        <w:rPr>
          <w:b/>
        </w:rPr>
        <w:t>1</w:t>
      </w:r>
      <w:r w:rsidR="00165FF6">
        <w:rPr>
          <w:b/>
        </w:rPr>
        <w:t>2</w:t>
      </w:r>
      <w:r w:rsidR="00927D58">
        <w:rPr>
          <w:b/>
        </w:rPr>
        <w:t>-6 PM on Monthly Peak Day</w:t>
      </w:r>
      <w:r w:rsidR="00633E45">
        <w:rPr>
          <w:b/>
        </w:rPr>
        <w:t>s</w:t>
      </w:r>
      <w:r w:rsidR="00927D58">
        <w:rPr>
          <w:b/>
        </w:rPr>
        <w:t xml:space="preserve"> </w:t>
      </w:r>
      <w:r w:rsidRPr="00AB5E8C">
        <w:rPr>
          <w:b/>
        </w:rPr>
        <w:t xml:space="preserve">for </w:t>
      </w:r>
      <w:r w:rsidR="00633E45">
        <w:rPr>
          <w:b/>
        </w:rPr>
        <w:t>April</w:t>
      </w:r>
      <w:r w:rsidRPr="00AB5E8C">
        <w:rPr>
          <w:b/>
        </w:rPr>
        <w:t>-October 2014</w:t>
      </w:r>
      <w:r w:rsidR="00633E45">
        <w:rPr>
          <w:b/>
        </w:rPr>
        <w:t xml:space="preserve"> (kW)</w:t>
      </w:r>
    </w:p>
    <w:tbl>
      <w:tblPr>
        <w:tblW w:w="5000" w:type="pct"/>
        <w:tblLayout w:type="fixed"/>
        <w:tblLook w:val="04A0"/>
      </w:tblPr>
      <w:tblGrid>
        <w:gridCol w:w="827"/>
        <w:gridCol w:w="1584"/>
        <w:gridCol w:w="717"/>
        <w:gridCol w:w="822"/>
        <w:gridCol w:w="717"/>
        <w:gridCol w:w="822"/>
        <w:gridCol w:w="717"/>
        <w:gridCol w:w="822"/>
        <w:gridCol w:w="717"/>
        <w:gridCol w:w="822"/>
        <w:gridCol w:w="717"/>
        <w:gridCol w:w="822"/>
        <w:gridCol w:w="717"/>
        <w:gridCol w:w="822"/>
        <w:gridCol w:w="717"/>
        <w:gridCol w:w="814"/>
      </w:tblGrid>
      <w:tr w:rsidR="00165FF6" w:rsidRPr="00165FF6" w:rsidTr="00132976">
        <w:trPr>
          <w:trHeight w:val="300"/>
        </w:trPr>
        <w:tc>
          <w:tcPr>
            <w:tcW w:w="314" w:type="pct"/>
            <w:vMerge w:val="restart"/>
            <w:tcBorders>
              <w:top w:val="single" w:sz="4" w:space="0" w:color="auto"/>
              <w:left w:val="single" w:sz="4" w:space="0" w:color="auto"/>
              <w:bottom w:val="single" w:sz="4" w:space="0" w:color="00000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Utility</w:t>
            </w:r>
          </w:p>
        </w:tc>
        <w:tc>
          <w:tcPr>
            <w:tcW w:w="601" w:type="pct"/>
            <w:vMerge w:val="restart"/>
            <w:tcBorders>
              <w:top w:val="single" w:sz="4" w:space="0" w:color="auto"/>
              <w:left w:val="single" w:sz="4" w:space="0" w:color="FFFBF0"/>
              <w:bottom w:val="single" w:sz="4" w:space="0" w:color="00000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LCA</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April</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May</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June</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July</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August</w:t>
            </w:r>
          </w:p>
        </w:tc>
        <w:tc>
          <w:tcPr>
            <w:tcW w:w="58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September</w:t>
            </w:r>
          </w:p>
        </w:tc>
        <w:tc>
          <w:tcPr>
            <w:tcW w:w="581" w:type="pct"/>
            <w:gridSpan w:val="2"/>
            <w:tcBorders>
              <w:top w:val="single" w:sz="4" w:space="0" w:color="auto"/>
              <w:left w:val="nil"/>
              <w:bottom w:val="single" w:sz="4" w:space="0" w:color="FFFBF0"/>
              <w:right w:val="single" w:sz="4" w:space="0" w:color="00000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October</w:t>
            </w:r>
          </w:p>
        </w:tc>
      </w:tr>
      <w:tr w:rsidR="00165FF6" w:rsidRPr="00165FF6" w:rsidTr="00132976">
        <w:trPr>
          <w:trHeight w:val="300"/>
        </w:trPr>
        <w:tc>
          <w:tcPr>
            <w:tcW w:w="314" w:type="pct"/>
            <w:vMerge/>
            <w:tcBorders>
              <w:top w:val="single" w:sz="4" w:space="0" w:color="auto"/>
              <w:left w:val="single" w:sz="4" w:space="0" w:color="auto"/>
              <w:bottom w:val="single" w:sz="4" w:space="0" w:color="000000"/>
              <w:right w:val="single" w:sz="4" w:space="0" w:color="FFFBF0"/>
            </w:tcBorders>
            <w:vAlign w:val="center"/>
            <w:hideMark/>
          </w:tcPr>
          <w:p w:rsidR="00165FF6" w:rsidRPr="00165FF6" w:rsidRDefault="00165FF6" w:rsidP="00165FF6">
            <w:pPr>
              <w:spacing w:after="0" w:line="240" w:lineRule="auto"/>
              <w:rPr>
                <w:rFonts w:ascii="Calibri" w:eastAsia="Times New Roman" w:hAnsi="Calibri" w:cs="Calibri"/>
                <w:b/>
                <w:bCs/>
                <w:color w:val="FFFFFF"/>
                <w:sz w:val="18"/>
                <w:szCs w:val="18"/>
              </w:rPr>
            </w:pPr>
          </w:p>
        </w:tc>
        <w:tc>
          <w:tcPr>
            <w:tcW w:w="601" w:type="pct"/>
            <w:vMerge/>
            <w:tcBorders>
              <w:top w:val="single" w:sz="4" w:space="0" w:color="auto"/>
              <w:left w:val="single" w:sz="4" w:space="0" w:color="FFFBF0"/>
              <w:bottom w:val="single" w:sz="4" w:space="0" w:color="000000"/>
              <w:right w:val="single" w:sz="4" w:space="0" w:color="FFFBF0"/>
            </w:tcBorders>
            <w:vAlign w:val="center"/>
            <w:hideMark/>
          </w:tcPr>
          <w:p w:rsidR="00165FF6" w:rsidRPr="00165FF6" w:rsidRDefault="00165FF6" w:rsidP="00165FF6">
            <w:pPr>
              <w:spacing w:after="0" w:line="240" w:lineRule="auto"/>
              <w:rPr>
                <w:rFonts w:ascii="Calibri" w:eastAsia="Times New Roman" w:hAnsi="Calibri" w:cs="Calibri"/>
                <w:b/>
                <w:bCs/>
                <w:color w:val="FFFFFF"/>
                <w:sz w:val="18"/>
                <w:szCs w:val="18"/>
              </w:rPr>
            </w:pP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72"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09" w:type="pct"/>
            <w:tcBorders>
              <w:top w:val="nil"/>
              <w:left w:val="nil"/>
              <w:bottom w:val="single" w:sz="4" w:space="0" w:color="auto"/>
              <w:right w:val="single" w:sz="4" w:space="0" w:color="auto"/>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r>
      <w:tr w:rsidR="00132976" w:rsidRPr="00165FF6" w:rsidTr="00132976">
        <w:trPr>
          <w:trHeight w:val="300"/>
        </w:trPr>
        <w:tc>
          <w:tcPr>
            <w:tcW w:w="314" w:type="pct"/>
            <w:vMerge w:val="restart"/>
            <w:tcBorders>
              <w:top w:val="nil"/>
              <w:left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b/>
                <w:bCs/>
                <w:color w:val="000000"/>
                <w:sz w:val="18"/>
                <w:szCs w:val="18"/>
              </w:rPr>
            </w:pPr>
            <w:r w:rsidRPr="00165FF6">
              <w:rPr>
                <w:rFonts w:ascii="Calibri" w:eastAsia="Times New Roman" w:hAnsi="Calibri" w:cs="Calibri"/>
                <w:b/>
                <w:bCs/>
                <w:color w:val="000000"/>
                <w:sz w:val="18"/>
                <w:szCs w:val="18"/>
              </w:rPr>
              <w:t>PG&amp;E</w:t>
            </w: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rPr>
                <w:rFonts w:ascii="Calibri" w:eastAsia="Times New Roman" w:hAnsi="Calibri" w:cs="Calibri"/>
                <w:color w:val="000000"/>
                <w:sz w:val="18"/>
                <w:szCs w:val="18"/>
              </w:rPr>
            </w:pPr>
            <w:r w:rsidRPr="00165FF6">
              <w:rPr>
                <w:rFonts w:ascii="Calibri" w:eastAsia="Times New Roman" w:hAnsi="Calibri" w:cs="Calibri"/>
                <w:color w:val="000000"/>
                <w:sz w:val="18"/>
                <w:szCs w:val="18"/>
              </w:rPr>
              <w:t>Greater Bay Area</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212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239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365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391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426</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425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432</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408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404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284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403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274</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354</w:t>
            </w:r>
          </w:p>
        </w:tc>
      </w:tr>
      <w:tr w:rsidR="00132976" w:rsidRPr="00165FF6" w:rsidTr="0013297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Greater Fresno</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441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567</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622</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571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677</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670</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472</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574</w:t>
            </w:r>
          </w:p>
        </w:tc>
      </w:tr>
      <w:tr w:rsidR="009102DB" w:rsidRPr="00165FF6" w:rsidTr="00BB54F0">
        <w:trPr>
          <w:trHeight w:val="300"/>
        </w:trPr>
        <w:tc>
          <w:tcPr>
            <w:tcW w:w="314" w:type="pct"/>
            <w:vMerge/>
            <w:tcBorders>
              <w:left w:val="single" w:sz="4" w:space="0" w:color="auto"/>
              <w:right w:val="single" w:sz="4" w:space="0" w:color="auto"/>
            </w:tcBorders>
            <w:vAlign w:val="center"/>
            <w:hideMark/>
          </w:tcPr>
          <w:p w:rsidR="009102DB" w:rsidRPr="00165FF6" w:rsidRDefault="009102DB"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Humboldt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c>
          <w:tcPr>
            <w:tcW w:w="309"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EF744F">
              <w:rPr>
                <w:rFonts w:ascii="Calibri" w:eastAsia="Times New Roman" w:hAnsi="Calibri" w:cs="Calibri"/>
                <w:color w:val="000000"/>
                <w:sz w:val="18"/>
                <w:szCs w:val="18"/>
              </w:rPr>
              <w:t>-</w:t>
            </w:r>
          </w:p>
        </w:tc>
      </w:tr>
      <w:tr w:rsidR="00132976" w:rsidRPr="00165FF6" w:rsidTr="0013297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Kern</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486</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558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649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589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590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558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634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503</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602</w:t>
            </w:r>
          </w:p>
        </w:tc>
      </w:tr>
      <w:tr w:rsidR="00132976" w:rsidRPr="00165FF6" w:rsidTr="0013297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rPr>
                <w:rFonts w:ascii="Calibri" w:eastAsia="Times New Roman" w:hAnsi="Calibri" w:cs="Calibri"/>
                <w:color w:val="000000"/>
                <w:sz w:val="18"/>
                <w:szCs w:val="18"/>
              </w:rPr>
            </w:pPr>
            <w:r w:rsidRPr="00165FF6">
              <w:rPr>
                <w:rFonts w:ascii="Calibri" w:eastAsia="Times New Roman" w:hAnsi="Calibri" w:cs="Calibri"/>
                <w:color w:val="000000"/>
                <w:sz w:val="18"/>
                <w:szCs w:val="18"/>
              </w:rPr>
              <w:t>Northern Coast</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393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448</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580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667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739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755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693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658</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459</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650</w:t>
            </w:r>
          </w:p>
        </w:tc>
      </w:tr>
      <w:tr w:rsidR="009102DB" w:rsidRPr="00165FF6" w:rsidTr="00BB54F0">
        <w:trPr>
          <w:trHeight w:val="300"/>
        </w:trPr>
        <w:tc>
          <w:tcPr>
            <w:tcW w:w="314" w:type="pct"/>
            <w:vMerge/>
            <w:tcBorders>
              <w:left w:val="single" w:sz="4" w:space="0" w:color="auto"/>
              <w:right w:val="single" w:sz="4" w:space="0" w:color="auto"/>
            </w:tcBorders>
            <w:vAlign w:val="center"/>
            <w:hideMark/>
          </w:tcPr>
          <w:p w:rsidR="009102DB" w:rsidRPr="00165FF6" w:rsidRDefault="009102DB"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Other</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c>
          <w:tcPr>
            <w:tcW w:w="309"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AD03D1">
              <w:rPr>
                <w:rFonts w:ascii="Calibri" w:eastAsia="Times New Roman" w:hAnsi="Calibri" w:cs="Calibri"/>
                <w:color w:val="000000"/>
                <w:sz w:val="18"/>
                <w:szCs w:val="18"/>
              </w:rPr>
              <w:t>-</w:t>
            </w:r>
          </w:p>
        </w:tc>
      </w:tr>
      <w:tr w:rsidR="00132976" w:rsidRPr="00165FF6" w:rsidTr="0013297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5951DA"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Sierra</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115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137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210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251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232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262</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283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254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241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276</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270</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178</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276</w:t>
            </w:r>
          </w:p>
        </w:tc>
      </w:tr>
      <w:tr w:rsidR="009102DB" w:rsidRPr="00165FF6" w:rsidTr="00BB54F0">
        <w:trPr>
          <w:trHeight w:val="300"/>
        </w:trPr>
        <w:tc>
          <w:tcPr>
            <w:tcW w:w="314" w:type="pct"/>
            <w:vMerge/>
            <w:tcBorders>
              <w:left w:val="single" w:sz="4" w:space="0" w:color="auto"/>
              <w:right w:val="single" w:sz="4" w:space="0" w:color="auto"/>
            </w:tcBorders>
            <w:vAlign w:val="center"/>
            <w:hideMark/>
          </w:tcPr>
          <w:p w:rsidR="009102DB" w:rsidRPr="00165FF6" w:rsidRDefault="009102DB" w:rsidP="00165FF6">
            <w:pPr>
              <w:spacing w:after="0" w:line="240" w:lineRule="auto"/>
              <w:rPr>
                <w:rFonts w:ascii="Calibri" w:eastAsia="Times New Roman" w:hAnsi="Calibri" w:cs="Calibri"/>
                <w:b/>
                <w:bCs/>
                <w:color w:val="000000"/>
                <w:sz w:val="18"/>
                <w:szCs w:val="18"/>
              </w:rPr>
            </w:pPr>
            <w:bookmarkStart w:id="5" w:name="_GoBack" w:colFirst="2" w:colLast="15"/>
          </w:p>
        </w:tc>
        <w:tc>
          <w:tcPr>
            <w:tcW w:w="601" w:type="pct"/>
            <w:tcBorders>
              <w:top w:val="nil"/>
              <w:left w:val="nil"/>
              <w:bottom w:val="single" w:sz="4" w:space="0" w:color="auto"/>
              <w:right w:val="single" w:sz="4" w:space="0" w:color="auto"/>
            </w:tcBorders>
            <w:shd w:val="clear" w:color="auto" w:fill="auto"/>
            <w:noWrap/>
            <w:vAlign w:val="center"/>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Stockton</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1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272"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c>
          <w:tcPr>
            <w:tcW w:w="309" w:type="pct"/>
            <w:tcBorders>
              <w:top w:val="nil"/>
              <w:left w:val="nil"/>
              <w:bottom w:val="single" w:sz="4" w:space="0" w:color="auto"/>
              <w:right w:val="single" w:sz="4" w:space="0" w:color="auto"/>
            </w:tcBorders>
            <w:shd w:val="clear" w:color="auto" w:fill="auto"/>
            <w:noWrap/>
            <w:hideMark/>
          </w:tcPr>
          <w:p w:rsidR="009102DB" w:rsidRPr="00165FF6" w:rsidRDefault="009102DB" w:rsidP="00165FF6">
            <w:pPr>
              <w:spacing w:after="0" w:line="240" w:lineRule="auto"/>
              <w:jc w:val="center"/>
              <w:rPr>
                <w:rFonts w:ascii="Calibri" w:eastAsia="Times New Roman" w:hAnsi="Calibri" w:cs="Calibri"/>
                <w:color w:val="000000"/>
                <w:sz w:val="18"/>
                <w:szCs w:val="18"/>
              </w:rPr>
            </w:pPr>
            <w:r w:rsidRPr="00666E60">
              <w:rPr>
                <w:rFonts w:ascii="Calibri" w:eastAsia="Times New Roman" w:hAnsi="Calibri" w:cs="Calibri"/>
                <w:color w:val="000000"/>
                <w:sz w:val="18"/>
                <w:szCs w:val="18"/>
              </w:rPr>
              <w:t>-</w:t>
            </w:r>
          </w:p>
        </w:tc>
      </w:tr>
      <w:bookmarkEnd w:id="5"/>
      <w:tr w:rsidR="00132976" w:rsidRPr="00165FF6" w:rsidTr="00132976">
        <w:trPr>
          <w:trHeight w:val="300"/>
        </w:trPr>
        <w:tc>
          <w:tcPr>
            <w:tcW w:w="314" w:type="pct"/>
            <w:vMerge/>
            <w:tcBorders>
              <w:left w:val="single" w:sz="4" w:space="0" w:color="auto"/>
              <w:bottom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Total</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1,470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1,791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2,154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2,554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2,433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2,633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2,782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2,755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2,534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2,728</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2,416</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2,572</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1,886</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2,456</w:t>
            </w:r>
          </w:p>
        </w:tc>
      </w:tr>
      <w:tr w:rsidR="00132976" w:rsidRPr="00165FF6" w:rsidTr="00BA6A26">
        <w:trPr>
          <w:trHeight w:val="300"/>
        </w:trPr>
        <w:tc>
          <w:tcPr>
            <w:tcW w:w="314" w:type="pct"/>
            <w:vMerge w:val="restart"/>
            <w:tcBorders>
              <w:top w:val="nil"/>
              <w:left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b/>
                <w:bCs/>
                <w:color w:val="000000"/>
                <w:sz w:val="18"/>
                <w:szCs w:val="18"/>
              </w:rPr>
            </w:pPr>
            <w:r w:rsidRPr="00165FF6">
              <w:rPr>
                <w:rFonts w:ascii="Calibri" w:eastAsia="Times New Roman" w:hAnsi="Calibri" w:cs="Calibri"/>
                <w:b/>
                <w:bCs/>
                <w:color w:val="000000"/>
                <w:sz w:val="18"/>
                <w:szCs w:val="18"/>
              </w:rPr>
              <w:t>SCE</w:t>
            </w: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LA Basin</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493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1173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669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793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804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985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804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806233">
              <w:rPr>
                <w:rFonts w:ascii="Calibri" w:eastAsia="Times New Roman" w:hAnsi="Calibri" w:cs="Calibri"/>
                <w:color w:val="000000"/>
                <w:sz w:val="18"/>
                <w:szCs w:val="18"/>
              </w:rPr>
              <w:t>,</w:t>
            </w:r>
            <w:r w:rsidRPr="00165FF6">
              <w:rPr>
                <w:rFonts w:ascii="Calibri" w:eastAsia="Times New Roman" w:hAnsi="Calibri" w:cs="Calibri"/>
                <w:color w:val="000000"/>
                <w:sz w:val="18"/>
                <w:szCs w:val="18"/>
              </w:rPr>
              <w:t>136</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806233">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035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880</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806233">
              <w:rPr>
                <w:rFonts w:ascii="Calibri" w:eastAsia="Times New Roman" w:hAnsi="Calibri" w:cs="Calibri"/>
                <w:color w:val="000000"/>
                <w:sz w:val="18"/>
                <w:szCs w:val="18"/>
              </w:rPr>
              <w:t>,</w:t>
            </w:r>
            <w:r w:rsidRPr="00165FF6">
              <w:rPr>
                <w:rFonts w:ascii="Calibri" w:eastAsia="Times New Roman" w:hAnsi="Calibri" w:cs="Calibri"/>
                <w:color w:val="000000"/>
                <w:sz w:val="18"/>
                <w:szCs w:val="18"/>
              </w:rPr>
              <w:t>102</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806233">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041</w:t>
            </w:r>
          </w:p>
        </w:tc>
      </w:tr>
      <w:tr w:rsidR="00132976" w:rsidRPr="00165FF6" w:rsidTr="00BA6A2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Outside LA Basin</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555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496</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689</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693</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708</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723</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737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527</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674</w:t>
            </w:r>
          </w:p>
        </w:tc>
      </w:tr>
      <w:tr w:rsidR="00132976" w:rsidRPr="00165FF6" w:rsidTr="00BA6A26">
        <w:trPr>
          <w:trHeight w:val="300"/>
        </w:trPr>
        <w:tc>
          <w:tcPr>
            <w:tcW w:w="314"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Ventura</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482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376</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666</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848</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809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910</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855</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880</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816</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874</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771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831</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385</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620</w:t>
            </w:r>
          </w:p>
        </w:tc>
      </w:tr>
      <w:tr w:rsidR="00132976" w:rsidRPr="00165FF6" w:rsidTr="00132976">
        <w:trPr>
          <w:trHeight w:val="300"/>
        </w:trPr>
        <w:tc>
          <w:tcPr>
            <w:tcW w:w="314" w:type="pct"/>
            <w:vMerge/>
            <w:tcBorders>
              <w:left w:val="single" w:sz="4" w:space="0" w:color="auto"/>
              <w:bottom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60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3297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Total</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1,530</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2,045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1,954</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2,262</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2,102</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2,427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2,367</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2,588</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2,349</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2,747</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2,531</w:t>
            </w:r>
          </w:p>
        </w:tc>
        <w:tc>
          <w:tcPr>
            <w:tcW w:w="31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2,415</w:t>
            </w:r>
          </w:p>
        </w:tc>
        <w:tc>
          <w:tcPr>
            <w:tcW w:w="272"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2,014</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2,335</w:t>
            </w:r>
          </w:p>
        </w:tc>
      </w:tr>
      <w:tr w:rsidR="000A4F16" w:rsidRPr="00165FF6" w:rsidTr="00132976">
        <w:trPr>
          <w:trHeight w:val="300"/>
        </w:trPr>
        <w:tc>
          <w:tcPr>
            <w:tcW w:w="91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b/>
                <w:bCs/>
                <w:color w:val="000000"/>
                <w:sz w:val="18"/>
                <w:szCs w:val="18"/>
              </w:rPr>
            </w:pPr>
            <w:r>
              <w:rPr>
                <w:rFonts w:ascii="Calibri" w:eastAsia="Times New Roman" w:hAnsi="Calibri" w:cs="Calibri"/>
                <w:b/>
                <w:bCs/>
                <w:color w:val="000000"/>
                <w:sz w:val="18"/>
                <w:szCs w:val="18"/>
              </w:rPr>
              <w:t xml:space="preserve">SDG&amp;E </w:t>
            </w:r>
            <w:r>
              <w:rPr>
                <w:rStyle w:val="FootnoteReference"/>
                <w:rFonts w:ascii="Calibri" w:eastAsia="Times New Roman" w:hAnsi="Calibri" w:cs="Calibri"/>
                <w:b/>
                <w:bCs/>
                <w:color w:val="000000"/>
                <w:sz w:val="18"/>
                <w:szCs w:val="18"/>
              </w:rPr>
              <w:footnoteReference w:id="10"/>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540</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771</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432</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789</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449</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458</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655</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718</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589</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746</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698</w:t>
            </w:r>
          </w:p>
        </w:tc>
        <w:tc>
          <w:tcPr>
            <w:tcW w:w="31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871</w:t>
            </w:r>
          </w:p>
        </w:tc>
        <w:tc>
          <w:tcPr>
            <w:tcW w:w="272"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733</w:t>
            </w:r>
          </w:p>
        </w:tc>
        <w:tc>
          <w:tcPr>
            <w:tcW w:w="309" w:type="pct"/>
            <w:tcBorders>
              <w:top w:val="nil"/>
              <w:left w:val="nil"/>
              <w:bottom w:val="single" w:sz="4" w:space="0" w:color="auto"/>
              <w:right w:val="single" w:sz="4" w:space="0" w:color="auto"/>
            </w:tcBorders>
            <w:shd w:val="clear" w:color="auto" w:fill="auto"/>
            <w:noWrap/>
            <w:vAlign w:val="center"/>
            <w:hideMark/>
          </w:tcPr>
          <w:p w:rsidR="000A4F16" w:rsidRPr="00165FF6" w:rsidRDefault="000A4F16" w:rsidP="00165FF6">
            <w:pPr>
              <w:spacing w:after="0" w:line="240" w:lineRule="auto"/>
              <w:jc w:val="center"/>
              <w:rPr>
                <w:rFonts w:ascii="Calibri" w:eastAsia="Times New Roman" w:hAnsi="Calibri" w:cs="Calibri"/>
                <w:color w:val="000000"/>
                <w:sz w:val="18"/>
                <w:szCs w:val="18"/>
              </w:rPr>
            </w:pPr>
            <w:r w:rsidRPr="00A75F37">
              <w:rPr>
                <w:rFonts w:ascii="Calibri" w:hAnsi="Calibri"/>
                <w:color w:val="000000"/>
                <w:sz w:val="18"/>
                <w:szCs w:val="18"/>
              </w:rPr>
              <w:t>853</w:t>
            </w:r>
          </w:p>
        </w:tc>
      </w:tr>
    </w:tbl>
    <w:p w:rsidR="00165FF6" w:rsidRDefault="00165FF6" w:rsidP="00FE3BF6">
      <w:pPr>
        <w:pStyle w:val="BodyParagraph"/>
        <w:rPr>
          <w:b/>
        </w:rPr>
      </w:pPr>
    </w:p>
    <w:p w:rsidR="00165FF6" w:rsidRPr="00D660A3" w:rsidRDefault="00165FF6" w:rsidP="00D660A3">
      <w:pPr>
        <w:rPr>
          <w:rFonts w:ascii="Verdana" w:hAnsi="Verdana"/>
          <w:b/>
          <w:sz w:val="18"/>
        </w:rPr>
      </w:pPr>
      <w:r>
        <w:rPr>
          <w:b/>
        </w:rPr>
        <w:br w:type="page"/>
      </w:r>
    </w:p>
    <w:p w:rsidR="00927D58" w:rsidRDefault="00FE3BF6" w:rsidP="00165FF6">
      <w:pPr>
        <w:pStyle w:val="BodyParagraph"/>
        <w:keepNext/>
        <w:jc w:val="center"/>
        <w:rPr>
          <w:b/>
        </w:rPr>
      </w:pPr>
      <w:r w:rsidRPr="00AB5E8C">
        <w:rPr>
          <w:b/>
        </w:rPr>
        <w:t>Table 3-</w:t>
      </w:r>
      <w:r>
        <w:rPr>
          <w:b/>
        </w:rPr>
        <w:t>2</w:t>
      </w:r>
      <w:r w:rsidRPr="00AB5E8C">
        <w:rPr>
          <w:b/>
        </w:rPr>
        <w:t xml:space="preserve">: Ex Ante Impact Estimates </w:t>
      </w:r>
      <w:r>
        <w:rPr>
          <w:b/>
        </w:rPr>
        <w:t>1</w:t>
      </w:r>
      <w:r w:rsidR="00165FF6">
        <w:rPr>
          <w:b/>
        </w:rPr>
        <w:t>2</w:t>
      </w:r>
      <w:r>
        <w:rPr>
          <w:b/>
        </w:rPr>
        <w:t>-6 PM on Monthly Peak Day</w:t>
      </w:r>
      <w:r w:rsidR="00633E45">
        <w:rPr>
          <w:b/>
        </w:rPr>
        <w:t>s</w:t>
      </w:r>
      <w:r>
        <w:rPr>
          <w:b/>
        </w:rPr>
        <w:t xml:space="preserve"> </w:t>
      </w:r>
      <w:r w:rsidR="008D544A">
        <w:rPr>
          <w:b/>
        </w:rPr>
        <w:t xml:space="preserve">for </w:t>
      </w:r>
      <w:r w:rsidR="00633E45">
        <w:rPr>
          <w:b/>
        </w:rPr>
        <w:t>April</w:t>
      </w:r>
      <w:r w:rsidR="008D544A">
        <w:rPr>
          <w:b/>
        </w:rPr>
        <w:t>-October 2015</w:t>
      </w:r>
      <w:r w:rsidR="00633E45">
        <w:rPr>
          <w:b/>
        </w:rPr>
        <w:t xml:space="preserve"> (kW)</w:t>
      </w:r>
    </w:p>
    <w:tbl>
      <w:tblPr>
        <w:tblW w:w="5232" w:type="pct"/>
        <w:tblInd w:w="-612" w:type="dxa"/>
        <w:tblLayout w:type="fixed"/>
        <w:tblLook w:val="04A0"/>
      </w:tblPr>
      <w:tblGrid>
        <w:gridCol w:w="719"/>
        <w:gridCol w:w="1441"/>
        <w:gridCol w:w="899"/>
        <w:gridCol w:w="811"/>
        <w:gridCol w:w="720"/>
        <w:gridCol w:w="813"/>
        <w:gridCol w:w="808"/>
        <w:gridCol w:w="811"/>
        <w:gridCol w:w="811"/>
        <w:gridCol w:w="772"/>
        <w:gridCol w:w="866"/>
        <w:gridCol w:w="866"/>
        <w:gridCol w:w="866"/>
        <w:gridCol w:w="866"/>
        <w:gridCol w:w="866"/>
        <w:gridCol w:w="852"/>
      </w:tblGrid>
      <w:tr w:rsidR="001C561B" w:rsidRPr="00165FF6" w:rsidTr="001C561B">
        <w:trPr>
          <w:trHeight w:val="300"/>
        </w:trPr>
        <w:tc>
          <w:tcPr>
            <w:tcW w:w="261" w:type="pct"/>
            <w:vMerge w:val="restart"/>
            <w:tcBorders>
              <w:top w:val="single" w:sz="4" w:space="0" w:color="auto"/>
              <w:left w:val="single" w:sz="4" w:space="0" w:color="auto"/>
              <w:bottom w:val="single" w:sz="4" w:space="0" w:color="00000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Utility</w:t>
            </w:r>
          </w:p>
        </w:tc>
        <w:tc>
          <w:tcPr>
            <w:tcW w:w="523" w:type="pct"/>
            <w:vMerge w:val="restart"/>
            <w:tcBorders>
              <w:top w:val="single" w:sz="4" w:space="0" w:color="auto"/>
              <w:left w:val="single" w:sz="4" w:space="0" w:color="FFFBF0"/>
              <w:bottom w:val="single" w:sz="4" w:space="0" w:color="00000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LCA</w:t>
            </w:r>
          </w:p>
        </w:tc>
        <w:tc>
          <w:tcPr>
            <w:tcW w:w="620"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April</w:t>
            </w:r>
          </w:p>
        </w:tc>
        <w:tc>
          <w:tcPr>
            <w:tcW w:w="556"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May</w:t>
            </w:r>
          </w:p>
        </w:tc>
        <w:tc>
          <w:tcPr>
            <w:tcW w:w="587"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June</w:t>
            </w:r>
          </w:p>
        </w:tc>
        <w:tc>
          <w:tcPr>
            <w:tcW w:w="574"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July</w:t>
            </w:r>
          </w:p>
        </w:tc>
        <w:tc>
          <w:tcPr>
            <w:tcW w:w="628"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August</w:t>
            </w:r>
          </w:p>
        </w:tc>
        <w:tc>
          <w:tcPr>
            <w:tcW w:w="628" w:type="pct"/>
            <w:gridSpan w:val="2"/>
            <w:tcBorders>
              <w:top w:val="single" w:sz="4" w:space="0" w:color="auto"/>
              <w:left w:val="nil"/>
              <w:bottom w:val="single" w:sz="4" w:space="0" w:color="FFFBF0"/>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September</w:t>
            </w:r>
          </w:p>
        </w:tc>
        <w:tc>
          <w:tcPr>
            <w:tcW w:w="623" w:type="pct"/>
            <w:gridSpan w:val="2"/>
            <w:tcBorders>
              <w:top w:val="single" w:sz="4" w:space="0" w:color="auto"/>
              <w:left w:val="nil"/>
              <w:bottom w:val="single" w:sz="4" w:space="0" w:color="FFFBF0"/>
              <w:right w:val="single" w:sz="4" w:space="0" w:color="00000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October</w:t>
            </w:r>
          </w:p>
        </w:tc>
      </w:tr>
      <w:tr w:rsidR="008E3763" w:rsidRPr="00165FF6" w:rsidTr="001C561B">
        <w:trPr>
          <w:trHeight w:val="300"/>
        </w:trPr>
        <w:tc>
          <w:tcPr>
            <w:tcW w:w="261" w:type="pct"/>
            <w:vMerge/>
            <w:tcBorders>
              <w:top w:val="single" w:sz="4" w:space="0" w:color="auto"/>
              <w:left w:val="single" w:sz="4" w:space="0" w:color="auto"/>
              <w:bottom w:val="single" w:sz="4" w:space="0" w:color="000000"/>
              <w:right w:val="single" w:sz="4" w:space="0" w:color="FFFBF0"/>
            </w:tcBorders>
            <w:vAlign w:val="center"/>
            <w:hideMark/>
          </w:tcPr>
          <w:p w:rsidR="00165FF6" w:rsidRPr="00165FF6" w:rsidRDefault="00165FF6" w:rsidP="00165FF6">
            <w:pPr>
              <w:spacing w:after="0" w:line="240" w:lineRule="auto"/>
              <w:rPr>
                <w:rFonts w:ascii="Calibri" w:eastAsia="Times New Roman" w:hAnsi="Calibri" w:cs="Calibri"/>
                <w:b/>
                <w:bCs/>
                <w:color w:val="FFFFFF"/>
                <w:sz w:val="18"/>
                <w:szCs w:val="18"/>
              </w:rPr>
            </w:pPr>
          </w:p>
        </w:tc>
        <w:tc>
          <w:tcPr>
            <w:tcW w:w="523" w:type="pct"/>
            <w:vMerge/>
            <w:tcBorders>
              <w:top w:val="single" w:sz="4" w:space="0" w:color="auto"/>
              <w:left w:val="single" w:sz="4" w:space="0" w:color="FFFBF0"/>
              <w:bottom w:val="single" w:sz="4" w:space="0" w:color="000000"/>
              <w:right w:val="single" w:sz="4" w:space="0" w:color="FFFBF0"/>
            </w:tcBorders>
            <w:vAlign w:val="center"/>
            <w:hideMark/>
          </w:tcPr>
          <w:p w:rsidR="00165FF6" w:rsidRPr="00165FF6" w:rsidRDefault="00165FF6" w:rsidP="00165FF6">
            <w:pPr>
              <w:spacing w:after="0" w:line="240" w:lineRule="auto"/>
              <w:rPr>
                <w:rFonts w:ascii="Calibri" w:eastAsia="Times New Roman" w:hAnsi="Calibri" w:cs="Calibri"/>
                <w:b/>
                <w:bCs/>
                <w:color w:val="FFFFFF"/>
                <w:sz w:val="18"/>
                <w:szCs w:val="18"/>
              </w:rPr>
            </w:pPr>
          </w:p>
        </w:tc>
        <w:tc>
          <w:tcPr>
            <w:tcW w:w="326"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29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61"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295"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93"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29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29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280"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31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31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1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c>
          <w:tcPr>
            <w:tcW w:w="314" w:type="pct"/>
            <w:tcBorders>
              <w:top w:val="nil"/>
              <w:left w:val="nil"/>
              <w:bottom w:val="single" w:sz="4" w:space="0" w:color="auto"/>
              <w:right w:val="single" w:sz="4" w:space="0" w:color="FFFBF0"/>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1-in-2</w:t>
            </w:r>
          </w:p>
        </w:tc>
        <w:tc>
          <w:tcPr>
            <w:tcW w:w="309" w:type="pct"/>
            <w:tcBorders>
              <w:top w:val="nil"/>
              <w:left w:val="nil"/>
              <w:bottom w:val="single" w:sz="4" w:space="0" w:color="auto"/>
              <w:right w:val="single" w:sz="4" w:space="0" w:color="auto"/>
            </w:tcBorders>
            <w:shd w:val="clear" w:color="000000" w:fill="1F497D"/>
            <w:noWrap/>
            <w:vAlign w:val="center"/>
            <w:hideMark/>
          </w:tcPr>
          <w:p w:rsidR="00165FF6" w:rsidRPr="00165FF6" w:rsidRDefault="00165FF6" w:rsidP="00165FF6">
            <w:pPr>
              <w:spacing w:after="0" w:line="240" w:lineRule="auto"/>
              <w:jc w:val="center"/>
              <w:rPr>
                <w:rFonts w:ascii="Calibri" w:eastAsia="Times New Roman" w:hAnsi="Calibri" w:cs="Calibri"/>
                <w:b/>
                <w:bCs/>
                <w:color w:val="FFFFFF"/>
                <w:sz w:val="18"/>
                <w:szCs w:val="18"/>
              </w:rPr>
            </w:pPr>
            <w:r w:rsidRPr="00165FF6">
              <w:rPr>
                <w:rFonts w:ascii="Calibri" w:eastAsia="Times New Roman" w:hAnsi="Calibri" w:cs="Calibri"/>
                <w:b/>
                <w:bCs/>
                <w:color w:val="FFFFFF"/>
                <w:sz w:val="18"/>
                <w:szCs w:val="18"/>
              </w:rPr>
              <w:t>1-in-10</w:t>
            </w:r>
          </w:p>
        </w:tc>
      </w:tr>
      <w:tr w:rsidR="001C561B" w:rsidRPr="00165FF6" w:rsidTr="001C561B">
        <w:trPr>
          <w:trHeight w:val="300"/>
        </w:trPr>
        <w:tc>
          <w:tcPr>
            <w:tcW w:w="261" w:type="pct"/>
            <w:vMerge w:val="restart"/>
            <w:tcBorders>
              <w:top w:val="nil"/>
              <w:left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b/>
                <w:bCs/>
                <w:color w:val="000000"/>
                <w:sz w:val="18"/>
                <w:szCs w:val="18"/>
              </w:rPr>
            </w:pPr>
            <w:r w:rsidRPr="00165FF6">
              <w:rPr>
                <w:rFonts w:ascii="Calibri" w:eastAsia="Times New Roman" w:hAnsi="Calibri" w:cs="Calibri"/>
                <w:b/>
                <w:bCs/>
                <w:color w:val="000000"/>
                <w:sz w:val="18"/>
                <w:szCs w:val="18"/>
              </w:rPr>
              <w:t>PG&amp;E</w:t>
            </w:r>
          </w:p>
        </w:tc>
        <w:tc>
          <w:tcPr>
            <w:tcW w:w="523" w:type="pct"/>
            <w:tcBorders>
              <w:top w:val="nil"/>
              <w:left w:val="nil"/>
              <w:bottom w:val="single" w:sz="4" w:space="0" w:color="auto"/>
              <w:right w:val="single" w:sz="4" w:space="0" w:color="auto"/>
            </w:tcBorders>
            <w:shd w:val="clear" w:color="auto" w:fill="auto"/>
            <w:noWrap/>
            <w:vAlign w:val="center"/>
            <w:hideMark/>
          </w:tcPr>
          <w:p w:rsidR="00F73609" w:rsidRDefault="0013297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Greater Bay Area</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415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517</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367</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676</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712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800</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763</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785</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743</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537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765</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535</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626</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Greater Fresno</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441</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567</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622</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571</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677</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670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615</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472</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574</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Humboldt</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20</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108</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116</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93</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118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142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40</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165</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Kern</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378</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486</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558</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649</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589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658</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590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558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634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503</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602</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rPr>
                <w:rFonts w:ascii="Calibri" w:eastAsia="Times New Roman" w:hAnsi="Calibri" w:cs="Calibri"/>
                <w:color w:val="000000"/>
                <w:sz w:val="18"/>
                <w:szCs w:val="18"/>
              </w:rPr>
            </w:pPr>
            <w:r w:rsidRPr="00165FF6">
              <w:rPr>
                <w:rFonts w:ascii="Calibri" w:eastAsia="Times New Roman" w:hAnsi="Calibri" w:cs="Calibri"/>
                <w:color w:val="000000"/>
                <w:sz w:val="18"/>
                <w:szCs w:val="18"/>
              </w:rPr>
              <w:t>Northern Coast</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782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886</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853</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303</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344</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421</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452</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470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357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338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172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348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016</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279</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5951DA"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Other</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405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482</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222</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511</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813</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365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728</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489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789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569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579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604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665</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282</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5951DA"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Sierra</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115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137</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210</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251</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232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262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283</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254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241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276</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178</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276</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5951DA"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Stockton</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366</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449</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546</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662</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704</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714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655</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686</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634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624</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439</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612</w:t>
            </w:r>
          </w:p>
        </w:tc>
      </w:tr>
      <w:tr w:rsidR="001C561B" w:rsidRPr="00165FF6" w:rsidTr="001C561B">
        <w:trPr>
          <w:trHeight w:val="300"/>
        </w:trPr>
        <w:tc>
          <w:tcPr>
            <w:tcW w:w="261" w:type="pct"/>
            <w:vMerge/>
            <w:tcBorders>
              <w:left w:val="single" w:sz="4" w:space="0" w:color="auto"/>
              <w:bottom w:val="single" w:sz="4" w:space="0" w:color="auto"/>
              <w:right w:val="single" w:sz="4" w:space="0" w:color="auto"/>
            </w:tcBorders>
            <w:vAlign w:val="center"/>
            <w:hideMark/>
          </w:tcPr>
          <w:p w:rsidR="005951DA" w:rsidRPr="00165FF6" w:rsidRDefault="005951DA"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5951DA" w:rsidRPr="00165FF6" w:rsidRDefault="005951DA"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Total</w:t>
            </w:r>
          </w:p>
        </w:tc>
        <w:tc>
          <w:tcPr>
            <w:tcW w:w="326" w:type="pct"/>
            <w:tcBorders>
              <w:top w:val="nil"/>
              <w:left w:val="nil"/>
              <w:bottom w:val="single" w:sz="4" w:space="0" w:color="auto"/>
              <w:right w:val="single" w:sz="4" w:space="0" w:color="auto"/>
            </w:tcBorders>
            <w:shd w:val="clear" w:color="auto" w:fill="auto"/>
            <w:noWrap/>
            <w:vAlign w:val="center"/>
            <w:hideMark/>
          </w:tcPr>
          <w:p w:rsidR="005951DA" w:rsidRPr="00132976" w:rsidRDefault="005951DA" w:rsidP="0013297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2,853</w:t>
            </w:r>
          </w:p>
        </w:tc>
        <w:tc>
          <w:tcPr>
            <w:tcW w:w="294" w:type="pct"/>
            <w:tcBorders>
              <w:top w:val="nil"/>
              <w:left w:val="nil"/>
              <w:bottom w:val="single" w:sz="4" w:space="0" w:color="auto"/>
              <w:right w:val="single" w:sz="4" w:space="0" w:color="auto"/>
            </w:tcBorders>
            <w:shd w:val="clear" w:color="auto" w:fill="auto"/>
            <w:noWrap/>
            <w:vAlign w:val="center"/>
            <w:hideMark/>
          </w:tcPr>
          <w:p w:rsidR="005951DA" w:rsidRPr="00132976" w:rsidRDefault="005951DA" w:rsidP="0013297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3,435</w:t>
            </w:r>
          </w:p>
        </w:tc>
        <w:tc>
          <w:tcPr>
            <w:tcW w:w="261" w:type="pct"/>
            <w:tcBorders>
              <w:top w:val="nil"/>
              <w:left w:val="nil"/>
              <w:bottom w:val="single" w:sz="4" w:space="0" w:color="auto"/>
              <w:right w:val="single" w:sz="4" w:space="0" w:color="auto"/>
            </w:tcBorders>
            <w:shd w:val="clear" w:color="auto" w:fill="auto"/>
            <w:noWrap/>
            <w:vAlign w:val="center"/>
            <w:hideMark/>
          </w:tcPr>
          <w:p w:rsidR="005951DA" w:rsidRPr="00132976" w:rsidRDefault="005951DA" w:rsidP="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3,163 </w:t>
            </w:r>
          </w:p>
        </w:tc>
        <w:tc>
          <w:tcPr>
            <w:tcW w:w="295"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4,711 </w:t>
            </w:r>
          </w:p>
        </w:tc>
        <w:tc>
          <w:tcPr>
            <w:tcW w:w="293"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4,998 </w:t>
            </w:r>
          </w:p>
        </w:tc>
        <w:tc>
          <w:tcPr>
            <w:tcW w:w="294" w:type="pct"/>
            <w:tcBorders>
              <w:top w:val="nil"/>
              <w:left w:val="nil"/>
              <w:bottom w:val="single" w:sz="4" w:space="0" w:color="auto"/>
              <w:right w:val="single" w:sz="4" w:space="0" w:color="auto"/>
            </w:tcBorders>
            <w:shd w:val="clear" w:color="auto" w:fill="auto"/>
            <w:noWrap/>
            <w:vAlign w:val="center"/>
            <w:hideMark/>
          </w:tcPr>
          <w:p w:rsidR="000A4F16" w:rsidRDefault="001C561B">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5,884</w:t>
            </w:r>
            <w:r w:rsidR="005951DA">
              <w:rPr>
                <w:rFonts w:ascii="Arial" w:hAnsi="Arial" w:cs="Arial"/>
                <w:color w:val="000000"/>
                <w:sz w:val="16"/>
                <w:szCs w:val="16"/>
              </w:rPr>
              <w:t xml:space="preserve"> </w:t>
            </w:r>
          </w:p>
        </w:tc>
        <w:tc>
          <w:tcPr>
            <w:tcW w:w="29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5,358 </w:t>
            </w:r>
          </w:p>
        </w:tc>
        <w:tc>
          <w:tcPr>
            <w:tcW w:w="280"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5,113 </w:t>
            </w:r>
          </w:p>
        </w:tc>
        <w:tc>
          <w:tcPr>
            <w:tcW w:w="31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5,055 </w:t>
            </w:r>
          </w:p>
        </w:tc>
        <w:tc>
          <w:tcPr>
            <w:tcW w:w="31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5,085 </w:t>
            </w:r>
          </w:p>
        </w:tc>
        <w:tc>
          <w:tcPr>
            <w:tcW w:w="31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4,433 </w:t>
            </w:r>
          </w:p>
        </w:tc>
        <w:tc>
          <w:tcPr>
            <w:tcW w:w="31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4,994 </w:t>
            </w:r>
          </w:p>
        </w:tc>
        <w:tc>
          <w:tcPr>
            <w:tcW w:w="314"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3,848 </w:t>
            </w:r>
          </w:p>
        </w:tc>
        <w:tc>
          <w:tcPr>
            <w:tcW w:w="309" w:type="pct"/>
            <w:tcBorders>
              <w:top w:val="nil"/>
              <w:left w:val="nil"/>
              <w:bottom w:val="single" w:sz="4" w:space="0" w:color="auto"/>
              <w:right w:val="single" w:sz="4" w:space="0" w:color="auto"/>
            </w:tcBorders>
            <w:shd w:val="clear" w:color="auto" w:fill="auto"/>
            <w:noWrap/>
            <w:vAlign w:val="center"/>
            <w:hideMark/>
          </w:tcPr>
          <w:p w:rsidR="000A4F16" w:rsidRDefault="005951DA">
            <w:pPr>
              <w:spacing w:after="0" w:line="240" w:lineRule="auto"/>
              <w:jc w:val="center"/>
              <w:rPr>
                <w:rFonts w:ascii="Calibri" w:eastAsia="Times New Roman" w:hAnsi="Calibri" w:cs="Calibri"/>
                <w:color w:val="000000"/>
                <w:sz w:val="18"/>
                <w:szCs w:val="18"/>
              </w:rPr>
            </w:pPr>
            <w:r>
              <w:rPr>
                <w:rFonts w:ascii="Arial" w:hAnsi="Arial" w:cs="Arial"/>
                <w:color w:val="000000"/>
                <w:sz w:val="16"/>
                <w:szCs w:val="16"/>
              </w:rPr>
              <w:t xml:space="preserve">4,416 </w:t>
            </w:r>
          </w:p>
        </w:tc>
      </w:tr>
      <w:tr w:rsidR="001C561B" w:rsidRPr="00165FF6" w:rsidTr="001C561B">
        <w:trPr>
          <w:trHeight w:val="300"/>
        </w:trPr>
        <w:tc>
          <w:tcPr>
            <w:tcW w:w="261" w:type="pct"/>
            <w:vMerge w:val="restart"/>
            <w:tcBorders>
              <w:top w:val="nil"/>
              <w:left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b/>
                <w:bCs/>
                <w:color w:val="000000"/>
                <w:sz w:val="18"/>
                <w:szCs w:val="18"/>
              </w:rPr>
            </w:pPr>
            <w:r w:rsidRPr="00165FF6">
              <w:rPr>
                <w:rFonts w:ascii="Calibri" w:eastAsia="Times New Roman" w:hAnsi="Calibri" w:cs="Calibri"/>
                <w:b/>
                <w:bCs/>
                <w:color w:val="000000"/>
                <w:sz w:val="18"/>
                <w:szCs w:val="18"/>
              </w:rPr>
              <w:t>SCE</w:t>
            </w: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LA Basin</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986</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345</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337</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450</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199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585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607</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970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607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272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069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760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203</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2</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082</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Outside LA Basin</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110</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992</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238</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378</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385</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448</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416</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447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457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473</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451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409</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055</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347</w:t>
            </w:r>
          </w:p>
        </w:tc>
      </w:tr>
      <w:tr w:rsidR="001C561B" w:rsidRPr="00165FF6" w:rsidTr="001C561B">
        <w:trPr>
          <w:trHeight w:val="300"/>
        </w:trPr>
        <w:tc>
          <w:tcPr>
            <w:tcW w:w="261" w:type="pct"/>
            <w:vMerge/>
            <w:tcBorders>
              <w:left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Ventura</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963</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751</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332</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695</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619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821</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710</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760</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632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748</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542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662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770</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sidRPr="00165FF6">
              <w:rPr>
                <w:rFonts w:ascii="Calibri" w:eastAsia="Times New Roman" w:hAnsi="Calibri" w:cs="Calibri"/>
                <w:color w:val="000000"/>
                <w:sz w:val="18"/>
                <w:szCs w:val="18"/>
              </w:rPr>
              <w:t>1</w:t>
            </w:r>
            <w:r w:rsidR="002A080E">
              <w:rPr>
                <w:rFonts w:ascii="Calibri" w:eastAsia="Times New Roman" w:hAnsi="Calibri" w:cs="Calibri"/>
                <w:color w:val="000000"/>
                <w:sz w:val="18"/>
                <w:szCs w:val="18"/>
              </w:rPr>
              <w:t>,</w:t>
            </w:r>
            <w:r w:rsidRPr="00165FF6">
              <w:rPr>
                <w:rFonts w:ascii="Calibri" w:eastAsia="Times New Roman" w:hAnsi="Calibri" w:cs="Calibri"/>
                <w:color w:val="000000"/>
                <w:sz w:val="18"/>
                <w:szCs w:val="18"/>
              </w:rPr>
              <w:t>240</w:t>
            </w:r>
          </w:p>
        </w:tc>
      </w:tr>
      <w:tr w:rsidR="001C561B" w:rsidRPr="00165FF6" w:rsidTr="001C561B">
        <w:trPr>
          <w:trHeight w:val="300"/>
        </w:trPr>
        <w:tc>
          <w:tcPr>
            <w:tcW w:w="261" w:type="pct"/>
            <w:vMerge/>
            <w:tcBorders>
              <w:left w:val="single" w:sz="4" w:space="0" w:color="auto"/>
              <w:bottom w:val="single" w:sz="4" w:space="0" w:color="auto"/>
              <w:right w:val="single" w:sz="4" w:space="0" w:color="auto"/>
            </w:tcBorders>
            <w:vAlign w:val="center"/>
            <w:hideMark/>
          </w:tcPr>
          <w:p w:rsidR="00132976" w:rsidRPr="00165FF6" w:rsidRDefault="00132976" w:rsidP="00165FF6">
            <w:pPr>
              <w:spacing w:after="0" w:line="240" w:lineRule="auto"/>
              <w:rPr>
                <w:rFonts w:ascii="Calibri" w:eastAsia="Times New Roman" w:hAnsi="Calibri" w:cs="Calibri"/>
                <w:b/>
                <w:bCs/>
                <w:color w:val="000000"/>
                <w:sz w:val="18"/>
                <w:szCs w:val="18"/>
              </w:rPr>
            </w:pPr>
          </w:p>
        </w:tc>
        <w:tc>
          <w:tcPr>
            <w:tcW w:w="523" w:type="pct"/>
            <w:tcBorders>
              <w:top w:val="nil"/>
              <w:left w:val="nil"/>
              <w:bottom w:val="single" w:sz="4" w:space="0" w:color="auto"/>
              <w:right w:val="single" w:sz="4" w:space="0" w:color="auto"/>
            </w:tcBorders>
            <w:shd w:val="clear" w:color="auto" w:fill="auto"/>
            <w:noWrap/>
            <w:vAlign w:val="center"/>
            <w:hideMark/>
          </w:tcPr>
          <w:p w:rsidR="00132976" w:rsidRPr="00165FF6" w:rsidRDefault="00132976" w:rsidP="00165FF6">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Total</w:t>
            </w:r>
          </w:p>
        </w:tc>
        <w:tc>
          <w:tcPr>
            <w:tcW w:w="326"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3,059</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4,088</w:t>
            </w:r>
          </w:p>
        </w:tc>
        <w:tc>
          <w:tcPr>
            <w:tcW w:w="261"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3,907</w:t>
            </w:r>
          </w:p>
        </w:tc>
        <w:tc>
          <w:tcPr>
            <w:tcW w:w="295"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4,523</w:t>
            </w:r>
          </w:p>
        </w:tc>
        <w:tc>
          <w:tcPr>
            <w:tcW w:w="293"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4,203</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4,854</w:t>
            </w:r>
          </w:p>
        </w:tc>
        <w:tc>
          <w:tcPr>
            <w:tcW w:w="29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4,733</w:t>
            </w:r>
          </w:p>
        </w:tc>
        <w:tc>
          <w:tcPr>
            <w:tcW w:w="280"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5,177</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4,696</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5,493</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5,062</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4,831</w:t>
            </w:r>
          </w:p>
        </w:tc>
        <w:tc>
          <w:tcPr>
            <w:tcW w:w="314"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4,028</w:t>
            </w:r>
          </w:p>
        </w:tc>
        <w:tc>
          <w:tcPr>
            <w:tcW w:w="309" w:type="pct"/>
            <w:tcBorders>
              <w:top w:val="nil"/>
              <w:left w:val="nil"/>
              <w:bottom w:val="single" w:sz="4" w:space="0" w:color="auto"/>
              <w:right w:val="single" w:sz="4" w:space="0" w:color="auto"/>
            </w:tcBorders>
            <w:shd w:val="clear" w:color="auto" w:fill="auto"/>
            <w:noWrap/>
            <w:vAlign w:val="center"/>
            <w:hideMark/>
          </w:tcPr>
          <w:p w:rsidR="00132976" w:rsidRPr="00132976" w:rsidRDefault="00132976" w:rsidP="00132976">
            <w:pPr>
              <w:spacing w:after="0" w:line="240" w:lineRule="auto"/>
              <w:jc w:val="center"/>
              <w:rPr>
                <w:rFonts w:ascii="Calibri" w:eastAsia="Times New Roman" w:hAnsi="Calibri" w:cs="Calibri"/>
                <w:color w:val="000000"/>
                <w:sz w:val="18"/>
                <w:szCs w:val="18"/>
              </w:rPr>
            </w:pPr>
            <w:r w:rsidRPr="00132976">
              <w:rPr>
                <w:rFonts w:ascii="Calibri" w:eastAsia="Times New Roman" w:hAnsi="Calibri" w:cs="Calibri"/>
                <w:color w:val="000000"/>
                <w:sz w:val="18"/>
                <w:szCs w:val="18"/>
              </w:rPr>
              <w:t>4,669</w:t>
            </w:r>
          </w:p>
        </w:tc>
      </w:tr>
      <w:tr w:rsidR="001C561B" w:rsidRPr="00165FF6" w:rsidTr="001C561B">
        <w:trPr>
          <w:trHeight w:val="300"/>
        </w:trPr>
        <w:tc>
          <w:tcPr>
            <w:tcW w:w="783"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b/>
                <w:bCs/>
                <w:color w:val="000000"/>
                <w:sz w:val="18"/>
                <w:szCs w:val="18"/>
              </w:rPr>
            </w:pPr>
            <w:r>
              <w:rPr>
                <w:rFonts w:ascii="Calibri" w:eastAsia="Times New Roman" w:hAnsi="Calibri" w:cs="Calibri"/>
                <w:b/>
                <w:bCs/>
                <w:color w:val="000000"/>
                <w:sz w:val="18"/>
                <w:szCs w:val="18"/>
              </w:rPr>
              <w:t xml:space="preserve">SDG&amp;E </w:t>
            </w:r>
            <w:r>
              <w:rPr>
                <w:rStyle w:val="FootnoteReference"/>
                <w:rFonts w:ascii="Calibri" w:eastAsia="Times New Roman" w:hAnsi="Calibri" w:cs="Calibri"/>
                <w:b/>
                <w:bCs/>
                <w:color w:val="000000"/>
                <w:sz w:val="18"/>
                <w:szCs w:val="18"/>
              </w:rPr>
              <w:footnoteReference w:id="11"/>
            </w:r>
          </w:p>
        </w:tc>
        <w:tc>
          <w:tcPr>
            <w:tcW w:w="326"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1,081</w:t>
            </w:r>
          </w:p>
        </w:tc>
        <w:tc>
          <w:tcPr>
            <w:tcW w:w="29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1,541</w:t>
            </w:r>
          </w:p>
        </w:tc>
        <w:tc>
          <w:tcPr>
            <w:tcW w:w="261"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863</w:t>
            </w:r>
          </w:p>
        </w:tc>
        <w:tc>
          <w:tcPr>
            <w:tcW w:w="295"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1,577</w:t>
            </w:r>
          </w:p>
        </w:tc>
        <w:tc>
          <w:tcPr>
            <w:tcW w:w="293"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899</w:t>
            </w:r>
          </w:p>
        </w:tc>
        <w:tc>
          <w:tcPr>
            <w:tcW w:w="29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915</w:t>
            </w:r>
          </w:p>
        </w:tc>
        <w:tc>
          <w:tcPr>
            <w:tcW w:w="29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1,310</w:t>
            </w:r>
          </w:p>
        </w:tc>
        <w:tc>
          <w:tcPr>
            <w:tcW w:w="280"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1,435</w:t>
            </w:r>
          </w:p>
        </w:tc>
        <w:tc>
          <w:tcPr>
            <w:tcW w:w="31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1,178</w:t>
            </w:r>
          </w:p>
        </w:tc>
        <w:tc>
          <w:tcPr>
            <w:tcW w:w="31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1,492</w:t>
            </w:r>
          </w:p>
        </w:tc>
        <w:tc>
          <w:tcPr>
            <w:tcW w:w="31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1,397</w:t>
            </w:r>
          </w:p>
        </w:tc>
        <w:tc>
          <w:tcPr>
            <w:tcW w:w="31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1,741</w:t>
            </w:r>
          </w:p>
        </w:tc>
        <w:tc>
          <w:tcPr>
            <w:tcW w:w="314"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1,466</w:t>
            </w:r>
          </w:p>
        </w:tc>
        <w:tc>
          <w:tcPr>
            <w:tcW w:w="309" w:type="pct"/>
            <w:tcBorders>
              <w:top w:val="nil"/>
              <w:left w:val="nil"/>
              <w:bottom w:val="single" w:sz="4" w:space="0" w:color="auto"/>
              <w:right w:val="single" w:sz="4" w:space="0" w:color="auto"/>
            </w:tcBorders>
            <w:shd w:val="clear" w:color="auto" w:fill="auto"/>
            <w:noWrap/>
            <w:vAlign w:val="center"/>
            <w:hideMark/>
          </w:tcPr>
          <w:p w:rsidR="00AC2206" w:rsidRPr="00165FF6" w:rsidRDefault="00AC2206" w:rsidP="00165FF6">
            <w:pPr>
              <w:spacing w:after="0" w:line="240" w:lineRule="auto"/>
              <w:jc w:val="center"/>
              <w:rPr>
                <w:rFonts w:ascii="Calibri" w:eastAsia="Times New Roman" w:hAnsi="Calibri" w:cs="Calibri"/>
                <w:color w:val="000000"/>
                <w:sz w:val="18"/>
                <w:szCs w:val="18"/>
              </w:rPr>
            </w:pPr>
            <w:r w:rsidRPr="002653EC">
              <w:rPr>
                <w:rFonts w:ascii="Calibri" w:hAnsi="Calibri"/>
                <w:color w:val="000000"/>
                <w:sz w:val="18"/>
                <w:szCs w:val="18"/>
              </w:rPr>
              <w:t>1,705</w:t>
            </w:r>
          </w:p>
        </w:tc>
      </w:tr>
    </w:tbl>
    <w:p w:rsidR="00D660A3" w:rsidRDefault="00D660A3" w:rsidP="00D660A3">
      <w:pPr>
        <w:pStyle w:val="BodyParagraph"/>
        <w:rPr>
          <w:b/>
        </w:rPr>
        <w:sectPr w:rsidR="00D660A3" w:rsidSect="00927D58">
          <w:pgSz w:w="15840" w:h="12240" w:orient="landscape"/>
          <w:pgMar w:top="1440" w:right="1440" w:bottom="1440" w:left="1440" w:header="720" w:footer="720" w:gutter="0"/>
          <w:cols w:space="720"/>
          <w:docGrid w:linePitch="360"/>
        </w:sectPr>
      </w:pPr>
    </w:p>
    <w:p w:rsidR="00927D58" w:rsidRDefault="00132976" w:rsidP="00D660A3">
      <w:pPr>
        <w:pStyle w:val="BodyParagraph"/>
      </w:pPr>
      <w:r>
        <w:t>Table 3-3</w:t>
      </w:r>
      <w:r w:rsidR="00D660A3">
        <w:t xml:space="preserve"> shows three scenarios, a low case, medium case and high case</w:t>
      </w:r>
      <w:r w:rsidR="003500B3">
        <w:t xml:space="preserve"> for August 1-in-10 conditions and Table 3-4 shows the same for August 1-in-2 conditions</w:t>
      </w:r>
      <w:r w:rsidR="00D660A3">
        <w:t>.  The medium case corresponds to the expected load shift values based on the calculation described in section 2.  The low case is equal to 50% of that and the high case is equal to 150% of that.  We consider these scenarios to be about the best that can be done for estimating the uncertainty associated with these estimates.  The estimation method was not statistical in nature and therefore there are no standard errors to</w:t>
      </w:r>
      <w:r w:rsidR="00ED3E1E">
        <w:t xml:space="preserve"> report.  </w:t>
      </w:r>
    </w:p>
    <w:p w:rsidR="0073382B" w:rsidRPr="0073382B" w:rsidRDefault="0073382B" w:rsidP="00DF73B6">
      <w:pPr>
        <w:pStyle w:val="BodyParagraph"/>
        <w:keepNext/>
        <w:jc w:val="center"/>
        <w:rPr>
          <w:b/>
        </w:rPr>
      </w:pPr>
      <w:r w:rsidRPr="00AB5E8C">
        <w:rPr>
          <w:b/>
        </w:rPr>
        <w:t>Table 3-</w:t>
      </w:r>
      <w:r>
        <w:rPr>
          <w:b/>
        </w:rPr>
        <w:t>3</w:t>
      </w:r>
      <w:r w:rsidRPr="00AB5E8C">
        <w:rPr>
          <w:b/>
        </w:rPr>
        <w:t xml:space="preserve">: Ex Ante Impact </w:t>
      </w:r>
      <w:r>
        <w:rPr>
          <w:b/>
        </w:rPr>
        <w:t>Scenarios</w:t>
      </w:r>
      <w:r w:rsidRPr="00AB5E8C">
        <w:rPr>
          <w:b/>
        </w:rPr>
        <w:t xml:space="preserve"> </w:t>
      </w:r>
      <w:r>
        <w:rPr>
          <w:b/>
        </w:rPr>
        <w:t>12-6 PM on Monthly Peak Days for August 1-in-10 Peak Days for 2014 and 2015 (kW)</w:t>
      </w:r>
    </w:p>
    <w:tbl>
      <w:tblPr>
        <w:tblW w:w="8203" w:type="dxa"/>
        <w:jc w:val="center"/>
        <w:tblLook w:val="04A0"/>
      </w:tblPr>
      <w:tblGrid>
        <w:gridCol w:w="734"/>
        <w:gridCol w:w="1509"/>
        <w:gridCol w:w="1021"/>
        <w:gridCol w:w="899"/>
        <w:gridCol w:w="1040"/>
        <w:gridCol w:w="1039"/>
        <w:gridCol w:w="899"/>
        <w:gridCol w:w="1062"/>
      </w:tblGrid>
      <w:tr w:rsidR="0073382B" w:rsidRPr="0073382B" w:rsidTr="0073382B">
        <w:trPr>
          <w:trHeight w:val="315"/>
          <w:jc w:val="center"/>
        </w:trPr>
        <w:tc>
          <w:tcPr>
            <w:tcW w:w="734" w:type="dxa"/>
            <w:vMerge w:val="restart"/>
            <w:tcBorders>
              <w:top w:val="single" w:sz="8" w:space="0" w:color="auto"/>
              <w:left w:val="single" w:sz="8" w:space="0" w:color="auto"/>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Utility</w:t>
            </w:r>
          </w:p>
        </w:tc>
        <w:tc>
          <w:tcPr>
            <w:tcW w:w="1509"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LCA</w:t>
            </w:r>
          </w:p>
        </w:tc>
        <w:tc>
          <w:tcPr>
            <w:tcW w:w="2960" w:type="dxa"/>
            <w:gridSpan w:val="3"/>
            <w:tcBorders>
              <w:top w:val="nil"/>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2014</w:t>
            </w:r>
          </w:p>
        </w:tc>
        <w:tc>
          <w:tcPr>
            <w:tcW w:w="3000" w:type="dxa"/>
            <w:gridSpan w:val="3"/>
            <w:tcBorders>
              <w:top w:val="nil"/>
              <w:left w:val="nil"/>
              <w:bottom w:val="nil"/>
              <w:right w:val="single" w:sz="4" w:space="0" w:color="auto"/>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2015-2019</w:t>
            </w:r>
          </w:p>
        </w:tc>
      </w:tr>
      <w:tr w:rsidR="0073382B" w:rsidRPr="0073382B" w:rsidTr="0073382B">
        <w:trPr>
          <w:trHeight w:val="300"/>
          <w:jc w:val="center"/>
        </w:trPr>
        <w:tc>
          <w:tcPr>
            <w:tcW w:w="734" w:type="dxa"/>
            <w:vMerge/>
            <w:tcBorders>
              <w:top w:val="single" w:sz="8" w:space="0" w:color="auto"/>
              <w:left w:val="single" w:sz="8" w:space="0" w:color="auto"/>
              <w:bottom w:val="nil"/>
              <w:right w:val="single" w:sz="8" w:space="0" w:color="FFFBF0"/>
            </w:tcBorders>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p>
        </w:tc>
        <w:tc>
          <w:tcPr>
            <w:tcW w:w="1509"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p>
        </w:tc>
        <w:tc>
          <w:tcPr>
            <w:tcW w:w="1021" w:type="dxa"/>
            <w:tcBorders>
              <w:top w:val="single" w:sz="8" w:space="0" w:color="auto"/>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High</w:t>
            </w:r>
          </w:p>
        </w:tc>
        <w:tc>
          <w:tcPr>
            <w:tcW w:w="899" w:type="dxa"/>
            <w:tcBorders>
              <w:top w:val="single" w:sz="8" w:space="0" w:color="auto"/>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Medium</w:t>
            </w:r>
          </w:p>
        </w:tc>
        <w:tc>
          <w:tcPr>
            <w:tcW w:w="1040" w:type="dxa"/>
            <w:tcBorders>
              <w:top w:val="single" w:sz="8" w:space="0" w:color="auto"/>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Low</w:t>
            </w:r>
          </w:p>
        </w:tc>
        <w:tc>
          <w:tcPr>
            <w:tcW w:w="1039" w:type="dxa"/>
            <w:tcBorders>
              <w:top w:val="single" w:sz="8" w:space="0" w:color="auto"/>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High</w:t>
            </w:r>
          </w:p>
        </w:tc>
        <w:tc>
          <w:tcPr>
            <w:tcW w:w="899" w:type="dxa"/>
            <w:tcBorders>
              <w:top w:val="single" w:sz="8" w:space="0" w:color="auto"/>
              <w:left w:val="nil"/>
              <w:bottom w:val="nil"/>
              <w:right w:val="single" w:sz="8" w:space="0" w:color="FFFBF0"/>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Medium</w:t>
            </w:r>
          </w:p>
        </w:tc>
        <w:tc>
          <w:tcPr>
            <w:tcW w:w="1062" w:type="dxa"/>
            <w:tcBorders>
              <w:top w:val="single" w:sz="8" w:space="0" w:color="auto"/>
              <w:left w:val="nil"/>
              <w:bottom w:val="single" w:sz="4" w:space="0" w:color="auto"/>
              <w:right w:val="single" w:sz="4" w:space="0" w:color="auto"/>
            </w:tcBorders>
            <w:shd w:val="clear" w:color="000000" w:fill="1F497D"/>
            <w:noWrap/>
            <w:vAlign w:val="center"/>
            <w:hideMark/>
          </w:tcPr>
          <w:p w:rsidR="0073382B" w:rsidRPr="0073382B" w:rsidRDefault="0073382B"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Low</w:t>
            </w:r>
          </w:p>
        </w:tc>
      </w:tr>
      <w:tr w:rsidR="0073382B" w:rsidRPr="0073382B" w:rsidTr="0073382B">
        <w:trPr>
          <w:trHeight w:val="300"/>
          <w:jc w:val="center"/>
        </w:trPr>
        <w:tc>
          <w:tcPr>
            <w:tcW w:w="7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PG&amp;E</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Bay Area</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606</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404</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202</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1,115</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743</w:t>
            </w:r>
          </w:p>
        </w:tc>
        <w:tc>
          <w:tcPr>
            <w:tcW w:w="1062"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372</w:t>
            </w:r>
          </w:p>
        </w:tc>
      </w:tr>
      <w:tr w:rsidR="0073382B"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Fresno</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1,052</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701</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351</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1,052</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701</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351</w:t>
            </w:r>
          </w:p>
        </w:tc>
      </w:tr>
      <w:tr w:rsidR="00DF73B6"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Humboldt</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177</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118</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59</w:t>
            </w:r>
          </w:p>
        </w:tc>
      </w:tr>
      <w:tr w:rsidR="0073382B"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Kern</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1,034</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689</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345</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1,034</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689</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345</w:t>
            </w:r>
          </w:p>
        </w:tc>
      </w:tr>
      <w:tr w:rsidR="0073382B"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Northern Coast</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1,040</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693</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347</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2,007</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1,338</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669</w:t>
            </w:r>
          </w:p>
        </w:tc>
      </w:tr>
      <w:tr w:rsidR="00DF73B6"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Other</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73382B" w:rsidRDefault="009102DB"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854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569</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285</w:t>
            </w:r>
          </w:p>
        </w:tc>
      </w:tr>
      <w:tr w:rsidR="0073382B"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Sierra</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362</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241</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121</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362</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241</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121</w:t>
            </w:r>
          </w:p>
        </w:tc>
      </w:tr>
      <w:tr w:rsidR="0073382B" w:rsidRPr="0073382B" w:rsidTr="0073382B">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Stockton</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9102D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9102D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9102D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1,029</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686</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343</w:t>
            </w:r>
          </w:p>
        </w:tc>
      </w:tr>
      <w:tr w:rsidR="009516A6" w:rsidRPr="0073382B" w:rsidTr="009516A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1021" w:type="dxa"/>
            <w:tcBorders>
              <w:top w:val="nil"/>
              <w:left w:val="nil"/>
              <w:bottom w:val="single" w:sz="4" w:space="0" w:color="auto"/>
              <w:right w:val="single" w:sz="4" w:space="0" w:color="auto"/>
            </w:tcBorders>
            <w:shd w:val="clear" w:color="auto" w:fill="auto"/>
            <w:noWrap/>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4,092</w:t>
            </w:r>
          </w:p>
        </w:tc>
        <w:tc>
          <w:tcPr>
            <w:tcW w:w="899" w:type="dxa"/>
            <w:tcBorders>
              <w:top w:val="nil"/>
              <w:left w:val="nil"/>
              <w:bottom w:val="single" w:sz="4" w:space="0" w:color="auto"/>
              <w:right w:val="single" w:sz="4" w:space="0" w:color="auto"/>
            </w:tcBorders>
            <w:shd w:val="clear" w:color="auto" w:fill="auto"/>
            <w:noWrap/>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2,728</w:t>
            </w:r>
          </w:p>
        </w:tc>
        <w:tc>
          <w:tcPr>
            <w:tcW w:w="1040" w:type="dxa"/>
            <w:tcBorders>
              <w:top w:val="nil"/>
              <w:left w:val="nil"/>
              <w:bottom w:val="single" w:sz="4" w:space="0" w:color="auto"/>
              <w:right w:val="single" w:sz="4" w:space="0" w:color="auto"/>
            </w:tcBorders>
            <w:shd w:val="clear" w:color="auto" w:fill="auto"/>
            <w:noWrap/>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1,364</w:t>
            </w:r>
          </w:p>
        </w:tc>
        <w:tc>
          <w:tcPr>
            <w:tcW w:w="1039" w:type="dxa"/>
            <w:tcBorders>
              <w:top w:val="nil"/>
              <w:left w:val="nil"/>
              <w:bottom w:val="single" w:sz="4" w:space="0" w:color="auto"/>
              <w:right w:val="single" w:sz="4" w:space="0" w:color="auto"/>
            </w:tcBorders>
            <w:shd w:val="clear" w:color="auto" w:fill="auto"/>
            <w:noWrap/>
            <w:vAlign w:val="center"/>
            <w:hideMark/>
          </w:tcPr>
          <w:p w:rsidR="009516A6" w:rsidRPr="0073382B" w:rsidRDefault="0094629C" w:rsidP="009516A6">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7,628 </w:t>
            </w:r>
          </w:p>
        </w:tc>
        <w:tc>
          <w:tcPr>
            <w:tcW w:w="899" w:type="dxa"/>
            <w:tcBorders>
              <w:top w:val="nil"/>
              <w:left w:val="nil"/>
              <w:bottom w:val="single" w:sz="4" w:space="0" w:color="auto"/>
              <w:right w:val="single" w:sz="4" w:space="0" w:color="auto"/>
            </w:tcBorders>
            <w:shd w:val="clear" w:color="auto" w:fill="auto"/>
            <w:noWrap/>
            <w:vAlign w:val="center"/>
            <w:hideMark/>
          </w:tcPr>
          <w:p w:rsidR="009516A6" w:rsidRPr="0073382B" w:rsidRDefault="0094629C" w:rsidP="009516A6">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5,085 </w:t>
            </w:r>
          </w:p>
        </w:tc>
        <w:tc>
          <w:tcPr>
            <w:tcW w:w="1062" w:type="dxa"/>
            <w:tcBorders>
              <w:top w:val="nil"/>
              <w:left w:val="nil"/>
              <w:bottom w:val="single" w:sz="4" w:space="0" w:color="auto"/>
              <w:right w:val="single" w:sz="4" w:space="0" w:color="auto"/>
            </w:tcBorders>
            <w:shd w:val="clear" w:color="auto" w:fill="auto"/>
            <w:noWrap/>
            <w:vAlign w:val="center"/>
            <w:hideMark/>
          </w:tcPr>
          <w:p w:rsidR="009516A6" w:rsidRPr="0073382B" w:rsidRDefault="0094629C" w:rsidP="009516A6">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2,543 </w:t>
            </w:r>
          </w:p>
        </w:tc>
      </w:tr>
      <w:tr w:rsidR="0073382B" w:rsidRPr="0073382B" w:rsidTr="0073382B">
        <w:trPr>
          <w:trHeight w:val="300"/>
          <w:jc w:val="center"/>
        </w:trPr>
        <w:tc>
          <w:tcPr>
            <w:tcW w:w="7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SCE</w:t>
            </w: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LA Basin</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1,704</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1,136</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568</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3,408</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2,272</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1,136</w:t>
            </w:r>
          </w:p>
        </w:tc>
      </w:tr>
      <w:tr w:rsidR="0073382B" w:rsidRPr="0073382B" w:rsidTr="0073382B">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Outside LA Basin</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1,106</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737</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369</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2,210</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1,473</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737</w:t>
            </w:r>
          </w:p>
        </w:tc>
      </w:tr>
      <w:tr w:rsidR="0073382B" w:rsidRPr="0073382B" w:rsidTr="0073382B">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Ventura</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1,311</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874</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437</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2,622</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1,748</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874</w:t>
            </w:r>
          </w:p>
        </w:tc>
      </w:tr>
      <w:tr w:rsidR="0073382B" w:rsidRPr="0073382B" w:rsidTr="0073382B">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1021"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4,121</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2,747</w:t>
            </w:r>
          </w:p>
        </w:tc>
        <w:tc>
          <w:tcPr>
            <w:tcW w:w="104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1,374</w:t>
            </w:r>
          </w:p>
        </w:tc>
        <w:tc>
          <w:tcPr>
            <w:tcW w:w="103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8,240</w:t>
            </w:r>
          </w:p>
        </w:tc>
        <w:tc>
          <w:tcPr>
            <w:tcW w:w="89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5,493</w:t>
            </w:r>
          </w:p>
        </w:tc>
        <w:tc>
          <w:tcPr>
            <w:tcW w:w="1062"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2,747</w:t>
            </w:r>
          </w:p>
        </w:tc>
      </w:tr>
      <w:tr w:rsidR="00806233" w:rsidRPr="0073382B" w:rsidTr="00806233">
        <w:trPr>
          <w:trHeight w:val="300"/>
          <w:jc w:val="center"/>
        </w:trPr>
        <w:tc>
          <w:tcPr>
            <w:tcW w:w="22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06233" w:rsidRPr="0073382B" w:rsidRDefault="00690C32" w:rsidP="0073382B">
            <w:pPr>
              <w:keepNext/>
              <w:spacing w:after="0" w:line="240" w:lineRule="auto"/>
              <w:jc w:val="center"/>
              <w:rPr>
                <w:rFonts w:ascii="Calibri" w:eastAsia="Times New Roman" w:hAnsi="Calibri" w:cs="Calibri"/>
                <w:color w:val="000000"/>
                <w:sz w:val="18"/>
                <w:szCs w:val="18"/>
              </w:rPr>
            </w:pPr>
            <w:hyperlink r:id="rId21" w:anchor="RANGE!C23" w:history="1">
              <w:r w:rsidR="00806233" w:rsidRPr="0073382B">
                <w:rPr>
                  <w:rFonts w:ascii="Calibri" w:eastAsia="Times New Roman" w:hAnsi="Calibri" w:cs="Calibri"/>
                  <w:color w:val="000000"/>
                  <w:sz w:val="18"/>
                  <w:szCs w:val="18"/>
                </w:rPr>
                <w:t>SDG&amp;E</w:t>
              </w:r>
            </w:hyperlink>
          </w:p>
        </w:tc>
        <w:tc>
          <w:tcPr>
            <w:tcW w:w="1021" w:type="dxa"/>
            <w:tcBorders>
              <w:top w:val="nil"/>
              <w:left w:val="nil"/>
              <w:bottom w:val="single" w:sz="4" w:space="0" w:color="auto"/>
              <w:right w:val="single" w:sz="4" w:space="0" w:color="auto"/>
            </w:tcBorders>
            <w:shd w:val="clear" w:color="auto" w:fill="auto"/>
            <w:noWrap/>
            <w:vAlign w:val="center"/>
            <w:hideMark/>
          </w:tcPr>
          <w:p w:rsidR="00806233" w:rsidRPr="00806233" w:rsidRDefault="0094629C" w:rsidP="00806233">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1,119 </w:t>
            </w:r>
          </w:p>
        </w:tc>
        <w:tc>
          <w:tcPr>
            <w:tcW w:w="899"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746 </w:t>
            </w:r>
          </w:p>
        </w:tc>
        <w:tc>
          <w:tcPr>
            <w:tcW w:w="104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373 </w:t>
            </w:r>
          </w:p>
        </w:tc>
        <w:tc>
          <w:tcPr>
            <w:tcW w:w="1039"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2,238 </w:t>
            </w:r>
          </w:p>
        </w:tc>
        <w:tc>
          <w:tcPr>
            <w:tcW w:w="899"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1,492 </w:t>
            </w:r>
          </w:p>
        </w:tc>
        <w:tc>
          <w:tcPr>
            <w:tcW w:w="1062"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746 </w:t>
            </w:r>
          </w:p>
        </w:tc>
      </w:tr>
    </w:tbl>
    <w:p w:rsidR="00DF73B6" w:rsidRDefault="00DF73B6" w:rsidP="00DF73B6">
      <w:pPr>
        <w:pStyle w:val="BodyParagraph"/>
        <w:keepNext/>
        <w:jc w:val="center"/>
        <w:rPr>
          <w:b/>
        </w:rPr>
      </w:pPr>
    </w:p>
    <w:p w:rsidR="00DF73B6" w:rsidRPr="0073382B" w:rsidRDefault="00DF73B6" w:rsidP="00DF73B6">
      <w:pPr>
        <w:pStyle w:val="BodyParagraph"/>
        <w:keepNext/>
        <w:jc w:val="center"/>
        <w:rPr>
          <w:b/>
        </w:rPr>
      </w:pPr>
      <w:r w:rsidRPr="00AB5E8C">
        <w:rPr>
          <w:b/>
        </w:rPr>
        <w:t>Table 3-</w:t>
      </w:r>
      <w:r>
        <w:rPr>
          <w:b/>
        </w:rPr>
        <w:t>4</w:t>
      </w:r>
      <w:r w:rsidRPr="00AB5E8C">
        <w:rPr>
          <w:b/>
        </w:rPr>
        <w:t xml:space="preserve">: Ex Ante Impact </w:t>
      </w:r>
      <w:r>
        <w:rPr>
          <w:b/>
        </w:rPr>
        <w:t>Scenarios</w:t>
      </w:r>
      <w:r w:rsidRPr="00AB5E8C">
        <w:rPr>
          <w:b/>
        </w:rPr>
        <w:t xml:space="preserve"> </w:t>
      </w:r>
      <w:r>
        <w:rPr>
          <w:b/>
        </w:rPr>
        <w:t>12-6 PM on Monthly Peak Days for August 1-in-2 Peak Days for 2014 and 2015 (kW)</w:t>
      </w:r>
    </w:p>
    <w:tbl>
      <w:tblPr>
        <w:tblW w:w="8203" w:type="dxa"/>
        <w:jc w:val="center"/>
        <w:tblLook w:val="04A0"/>
      </w:tblPr>
      <w:tblGrid>
        <w:gridCol w:w="734"/>
        <w:gridCol w:w="1509"/>
        <w:gridCol w:w="1021"/>
        <w:gridCol w:w="899"/>
        <w:gridCol w:w="1040"/>
        <w:gridCol w:w="1039"/>
        <w:gridCol w:w="899"/>
        <w:gridCol w:w="1062"/>
      </w:tblGrid>
      <w:tr w:rsidR="00DF73B6" w:rsidRPr="0073382B" w:rsidTr="000A4F16">
        <w:trPr>
          <w:trHeight w:val="315"/>
          <w:jc w:val="center"/>
        </w:trPr>
        <w:tc>
          <w:tcPr>
            <w:tcW w:w="734" w:type="dxa"/>
            <w:vMerge w:val="restart"/>
            <w:tcBorders>
              <w:top w:val="single" w:sz="8" w:space="0" w:color="auto"/>
              <w:left w:val="single" w:sz="8" w:space="0" w:color="auto"/>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Utility</w:t>
            </w:r>
          </w:p>
        </w:tc>
        <w:tc>
          <w:tcPr>
            <w:tcW w:w="1509"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LCA</w:t>
            </w:r>
          </w:p>
        </w:tc>
        <w:tc>
          <w:tcPr>
            <w:tcW w:w="2960" w:type="dxa"/>
            <w:gridSpan w:val="3"/>
            <w:tcBorders>
              <w:top w:val="nil"/>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2014</w:t>
            </w:r>
          </w:p>
        </w:tc>
        <w:tc>
          <w:tcPr>
            <w:tcW w:w="3000" w:type="dxa"/>
            <w:gridSpan w:val="3"/>
            <w:tcBorders>
              <w:top w:val="nil"/>
              <w:left w:val="nil"/>
              <w:bottom w:val="nil"/>
              <w:right w:val="single" w:sz="4" w:space="0" w:color="auto"/>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2015-2019</w:t>
            </w:r>
          </w:p>
        </w:tc>
      </w:tr>
      <w:tr w:rsidR="00DF73B6" w:rsidRPr="0073382B" w:rsidTr="000A4F16">
        <w:trPr>
          <w:trHeight w:val="300"/>
          <w:jc w:val="center"/>
        </w:trPr>
        <w:tc>
          <w:tcPr>
            <w:tcW w:w="734" w:type="dxa"/>
            <w:vMerge/>
            <w:tcBorders>
              <w:top w:val="single" w:sz="8" w:space="0" w:color="auto"/>
              <w:left w:val="single" w:sz="8" w:space="0" w:color="auto"/>
              <w:bottom w:val="nil"/>
              <w:right w:val="single" w:sz="8" w:space="0" w:color="FFFBF0"/>
            </w:tcBorders>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p>
        </w:tc>
        <w:tc>
          <w:tcPr>
            <w:tcW w:w="1509"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p>
        </w:tc>
        <w:tc>
          <w:tcPr>
            <w:tcW w:w="1021" w:type="dxa"/>
            <w:tcBorders>
              <w:top w:val="single" w:sz="8" w:space="0" w:color="auto"/>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High</w:t>
            </w:r>
          </w:p>
        </w:tc>
        <w:tc>
          <w:tcPr>
            <w:tcW w:w="899" w:type="dxa"/>
            <w:tcBorders>
              <w:top w:val="single" w:sz="8" w:space="0" w:color="auto"/>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Medium</w:t>
            </w:r>
          </w:p>
        </w:tc>
        <w:tc>
          <w:tcPr>
            <w:tcW w:w="1040" w:type="dxa"/>
            <w:tcBorders>
              <w:top w:val="single" w:sz="8" w:space="0" w:color="auto"/>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Low</w:t>
            </w:r>
          </w:p>
        </w:tc>
        <w:tc>
          <w:tcPr>
            <w:tcW w:w="1039" w:type="dxa"/>
            <w:tcBorders>
              <w:top w:val="single" w:sz="8" w:space="0" w:color="auto"/>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High</w:t>
            </w:r>
          </w:p>
        </w:tc>
        <w:tc>
          <w:tcPr>
            <w:tcW w:w="899" w:type="dxa"/>
            <w:tcBorders>
              <w:top w:val="single" w:sz="8" w:space="0" w:color="auto"/>
              <w:left w:val="nil"/>
              <w:bottom w:val="nil"/>
              <w:right w:val="single" w:sz="8" w:space="0" w:color="FFFBF0"/>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Medium</w:t>
            </w:r>
          </w:p>
        </w:tc>
        <w:tc>
          <w:tcPr>
            <w:tcW w:w="1062" w:type="dxa"/>
            <w:tcBorders>
              <w:top w:val="single" w:sz="8" w:space="0" w:color="auto"/>
              <w:left w:val="nil"/>
              <w:bottom w:val="single" w:sz="4" w:space="0" w:color="auto"/>
              <w:right w:val="single" w:sz="4" w:space="0" w:color="auto"/>
            </w:tcBorders>
            <w:shd w:val="clear" w:color="000000" w:fill="1F497D"/>
            <w:noWrap/>
            <w:vAlign w:val="center"/>
            <w:hideMark/>
          </w:tcPr>
          <w:p w:rsidR="00DF73B6" w:rsidRPr="0073382B" w:rsidRDefault="00DF73B6" w:rsidP="00DF73B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Low</w:t>
            </w:r>
          </w:p>
        </w:tc>
      </w:tr>
      <w:tr w:rsidR="00DF73B6" w:rsidRPr="0073382B" w:rsidTr="00DF73B6">
        <w:trPr>
          <w:trHeight w:val="300"/>
          <w:jc w:val="center"/>
        </w:trPr>
        <w:tc>
          <w:tcPr>
            <w:tcW w:w="7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PG&amp;E</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Bay Area</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612</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408</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204</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1,082</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721</w:t>
            </w:r>
          </w:p>
        </w:tc>
        <w:tc>
          <w:tcPr>
            <w:tcW w:w="1062" w:type="dxa"/>
            <w:tcBorders>
              <w:top w:val="single" w:sz="4" w:space="0" w:color="auto"/>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361</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Fresno</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917</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611</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306</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917</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611</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306</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Humboldt</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117</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78</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39</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Kern</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885</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590</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295</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885</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590</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295</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Northern Coast</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1,007</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671</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336</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2,036</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1,357</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679</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Other</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1,184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789</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395</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Sierra</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381</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254</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127</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381</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254</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127</w:t>
            </w:r>
          </w:p>
        </w:tc>
      </w:tr>
      <w:tr w:rsidR="00DF73B6" w:rsidRPr="0073382B" w:rsidTr="00DF73B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Stockton</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9102DB" w:rsidP="00DF73B6">
            <w:pPr>
              <w:keepNext/>
              <w:spacing w:after="0" w:line="240" w:lineRule="auto"/>
              <w:jc w:val="center"/>
              <w:rPr>
                <w:rFonts w:eastAsia="Times New Roman" w:cs="Calibri"/>
                <w:color w:val="000000"/>
                <w:sz w:val="18"/>
                <w:szCs w:val="18"/>
              </w:rPr>
            </w:pPr>
            <w:r w:rsidRPr="0073382B">
              <w:rPr>
                <w:rFonts w:ascii="Calibri" w:eastAsia="Times New Roman" w:hAnsi="Calibri" w:cs="Calibri"/>
                <w:color w:val="000000"/>
                <w:sz w:val="18"/>
                <w:szCs w:val="18"/>
              </w:rPr>
              <w:t>-</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983</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655</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328</w:t>
            </w:r>
          </w:p>
        </w:tc>
      </w:tr>
      <w:tr w:rsidR="009516A6" w:rsidRPr="0073382B" w:rsidTr="009516A6">
        <w:trPr>
          <w:trHeight w:val="30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9516A6" w:rsidRPr="0073382B" w:rsidRDefault="009516A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1021" w:type="dxa"/>
            <w:tcBorders>
              <w:top w:val="nil"/>
              <w:left w:val="nil"/>
              <w:bottom w:val="single" w:sz="4" w:space="0" w:color="auto"/>
              <w:right w:val="single" w:sz="4" w:space="0" w:color="auto"/>
            </w:tcBorders>
            <w:shd w:val="clear" w:color="auto" w:fill="auto"/>
            <w:noWrap/>
            <w:vAlign w:val="center"/>
            <w:hideMark/>
          </w:tcPr>
          <w:p w:rsidR="009516A6" w:rsidRPr="00DF73B6" w:rsidRDefault="009516A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3,801</w:t>
            </w:r>
          </w:p>
        </w:tc>
        <w:tc>
          <w:tcPr>
            <w:tcW w:w="899" w:type="dxa"/>
            <w:tcBorders>
              <w:top w:val="nil"/>
              <w:left w:val="nil"/>
              <w:bottom w:val="single" w:sz="4" w:space="0" w:color="auto"/>
              <w:right w:val="single" w:sz="4" w:space="0" w:color="auto"/>
            </w:tcBorders>
            <w:shd w:val="clear" w:color="auto" w:fill="auto"/>
            <w:noWrap/>
            <w:vAlign w:val="center"/>
            <w:hideMark/>
          </w:tcPr>
          <w:p w:rsidR="009516A6" w:rsidRPr="00DF73B6" w:rsidRDefault="009516A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2,534</w:t>
            </w:r>
          </w:p>
        </w:tc>
        <w:tc>
          <w:tcPr>
            <w:tcW w:w="1040" w:type="dxa"/>
            <w:tcBorders>
              <w:top w:val="nil"/>
              <w:left w:val="nil"/>
              <w:bottom w:val="single" w:sz="4" w:space="0" w:color="auto"/>
              <w:right w:val="single" w:sz="4" w:space="0" w:color="auto"/>
            </w:tcBorders>
            <w:shd w:val="clear" w:color="auto" w:fill="auto"/>
            <w:noWrap/>
            <w:vAlign w:val="center"/>
            <w:hideMark/>
          </w:tcPr>
          <w:p w:rsidR="009516A6" w:rsidRPr="00DF73B6" w:rsidRDefault="009516A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1,267</w:t>
            </w:r>
          </w:p>
        </w:tc>
        <w:tc>
          <w:tcPr>
            <w:tcW w:w="1039" w:type="dxa"/>
            <w:tcBorders>
              <w:top w:val="nil"/>
              <w:left w:val="nil"/>
              <w:bottom w:val="single" w:sz="4" w:space="0" w:color="auto"/>
              <w:right w:val="single" w:sz="4" w:space="0" w:color="auto"/>
            </w:tcBorders>
            <w:shd w:val="clear" w:color="auto" w:fill="auto"/>
            <w:noWrap/>
            <w:vAlign w:val="center"/>
            <w:hideMark/>
          </w:tcPr>
          <w:p w:rsidR="009516A6" w:rsidRPr="00DF73B6" w:rsidRDefault="00690C32" w:rsidP="009516A6">
            <w:pPr>
              <w:keepNext/>
              <w:spacing w:after="0" w:line="240" w:lineRule="auto"/>
              <w:jc w:val="center"/>
              <w:rPr>
                <w:rFonts w:eastAsia="Times New Roman" w:cs="Calibri"/>
                <w:color w:val="000000"/>
                <w:sz w:val="18"/>
                <w:szCs w:val="18"/>
              </w:rPr>
            </w:pPr>
            <w:r w:rsidRPr="00690C32">
              <w:rPr>
                <w:rFonts w:eastAsia="Times New Roman" w:cs="Calibri"/>
                <w:color w:val="000000"/>
                <w:sz w:val="18"/>
                <w:szCs w:val="18"/>
              </w:rPr>
              <w:t xml:space="preserve">7,583 </w:t>
            </w:r>
          </w:p>
        </w:tc>
        <w:tc>
          <w:tcPr>
            <w:tcW w:w="899" w:type="dxa"/>
            <w:tcBorders>
              <w:top w:val="nil"/>
              <w:left w:val="nil"/>
              <w:bottom w:val="single" w:sz="4" w:space="0" w:color="auto"/>
              <w:right w:val="single" w:sz="4" w:space="0" w:color="auto"/>
            </w:tcBorders>
            <w:shd w:val="clear" w:color="auto" w:fill="auto"/>
            <w:noWrap/>
            <w:vAlign w:val="center"/>
            <w:hideMark/>
          </w:tcPr>
          <w:p w:rsidR="009516A6" w:rsidRPr="00DF73B6" w:rsidRDefault="00690C32" w:rsidP="009516A6">
            <w:pPr>
              <w:keepNext/>
              <w:spacing w:after="0" w:line="240" w:lineRule="auto"/>
              <w:jc w:val="center"/>
              <w:rPr>
                <w:rFonts w:eastAsia="Times New Roman" w:cs="Calibri"/>
                <w:color w:val="000000"/>
                <w:sz w:val="18"/>
                <w:szCs w:val="18"/>
              </w:rPr>
            </w:pPr>
            <w:r w:rsidRPr="00690C32">
              <w:rPr>
                <w:rFonts w:eastAsia="Times New Roman" w:cs="Calibri"/>
                <w:color w:val="000000"/>
                <w:sz w:val="18"/>
                <w:szCs w:val="18"/>
              </w:rPr>
              <w:t xml:space="preserve">5,055 </w:t>
            </w:r>
          </w:p>
        </w:tc>
        <w:tc>
          <w:tcPr>
            <w:tcW w:w="1062" w:type="dxa"/>
            <w:tcBorders>
              <w:top w:val="nil"/>
              <w:left w:val="nil"/>
              <w:bottom w:val="single" w:sz="4" w:space="0" w:color="auto"/>
              <w:right w:val="single" w:sz="4" w:space="0" w:color="auto"/>
            </w:tcBorders>
            <w:shd w:val="clear" w:color="auto" w:fill="auto"/>
            <w:noWrap/>
            <w:vAlign w:val="center"/>
            <w:hideMark/>
          </w:tcPr>
          <w:p w:rsidR="009516A6" w:rsidRPr="00DF73B6" w:rsidRDefault="00690C32" w:rsidP="009516A6">
            <w:pPr>
              <w:keepNext/>
              <w:spacing w:after="0" w:line="240" w:lineRule="auto"/>
              <w:jc w:val="center"/>
              <w:rPr>
                <w:rFonts w:eastAsia="Times New Roman" w:cs="Calibri"/>
                <w:color w:val="000000"/>
                <w:sz w:val="18"/>
                <w:szCs w:val="18"/>
              </w:rPr>
            </w:pPr>
            <w:r w:rsidRPr="00690C32">
              <w:rPr>
                <w:rFonts w:eastAsia="Times New Roman" w:cs="Calibri"/>
                <w:color w:val="000000"/>
                <w:sz w:val="18"/>
                <w:szCs w:val="18"/>
              </w:rPr>
              <w:t xml:space="preserve">2,528 </w:t>
            </w:r>
          </w:p>
        </w:tc>
      </w:tr>
      <w:tr w:rsidR="00DF73B6" w:rsidRPr="0073382B" w:rsidTr="00DF73B6">
        <w:trPr>
          <w:trHeight w:val="300"/>
          <w:jc w:val="center"/>
        </w:trPr>
        <w:tc>
          <w:tcPr>
            <w:tcW w:w="7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SCE</w:t>
            </w: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LA Basin</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1,206</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804</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402</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2,411</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1607</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804</w:t>
            </w:r>
          </w:p>
        </w:tc>
      </w:tr>
      <w:tr w:rsidR="00DF73B6" w:rsidRPr="0073382B" w:rsidTr="00DF73B6">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Outside LA Basin</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1,094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729</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365</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2,186</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1457</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729</w:t>
            </w:r>
          </w:p>
        </w:tc>
      </w:tr>
      <w:tr w:rsidR="00DF73B6" w:rsidRPr="0073382B" w:rsidTr="00DF73B6">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Ventura</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1,224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816</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408</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2,448</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1632</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816</w:t>
            </w:r>
          </w:p>
        </w:tc>
      </w:tr>
      <w:tr w:rsidR="00DF73B6" w:rsidRPr="0073382B" w:rsidTr="00DF73B6">
        <w:trPr>
          <w:trHeight w:val="300"/>
          <w:jc w:val="center"/>
        </w:trPr>
        <w:tc>
          <w:tcPr>
            <w:tcW w:w="734" w:type="dxa"/>
            <w:vMerge/>
            <w:tcBorders>
              <w:top w:val="nil"/>
              <w:left w:val="single" w:sz="4" w:space="0" w:color="auto"/>
              <w:bottom w:val="single" w:sz="4" w:space="0" w:color="auto"/>
              <w:right w:val="single" w:sz="4" w:space="0" w:color="auto"/>
            </w:tcBorders>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p>
        </w:tc>
        <w:tc>
          <w:tcPr>
            <w:tcW w:w="1509" w:type="dxa"/>
            <w:tcBorders>
              <w:top w:val="nil"/>
              <w:left w:val="nil"/>
              <w:bottom w:val="single" w:sz="4" w:space="0" w:color="auto"/>
              <w:right w:val="single" w:sz="4" w:space="0" w:color="auto"/>
            </w:tcBorders>
            <w:shd w:val="clear" w:color="auto" w:fill="auto"/>
            <w:noWrap/>
            <w:vAlign w:val="center"/>
            <w:hideMark/>
          </w:tcPr>
          <w:p w:rsidR="00DF73B6" w:rsidRPr="0073382B" w:rsidRDefault="00DF73B6" w:rsidP="00DF73B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1021"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3,524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2,349</w:t>
            </w:r>
          </w:p>
        </w:tc>
        <w:tc>
          <w:tcPr>
            <w:tcW w:w="1040"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1,175</w:t>
            </w:r>
          </w:p>
        </w:tc>
        <w:tc>
          <w:tcPr>
            <w:tcW w:w="103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7,044</w:t>
            </w:r>
          </w:p>
        </w:tc>
        <w:tc>
          <w:tcPr>
            <w:tcW w:w="899"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4,696</w:t>
            </w:r>
          </w:p>
        </w:tc>
        <w:tc>
          <w:tcPr>
            <w:tcW w:w="1062" w:type="dxa"/>
            <w:tcBorders>
              <w:top w:val="nil"/>
              <w:left w:val="nil"/>
              <w:bottom w:val="single" w:sz="4" w:space="0" w:color="auto"/>
              <w:right w:val="single" w:sz="4" w:space="0" w:color="auto"/>
            </w:tcBorders>
            <w:shd w:val="clear" w:color="auto" w:fill="auto"/>
            <w:noWrap/>
            <w:vAlign w:val="center"/>
            <w:hideMark/>
          </w:tcPr>
          <w:p w:rsidR="00DF73B6" w:rsidRPr="00DF73B6" w:rsidRDefault="00DF73B6" w:rsidP="00DF73B6">
            <w:pPr>
              <w:keepNext/>
              <w:spacing w:after="0" w:line="240" w:lineRule="auto"/>
              <w:jc w:val="center"/>
              <w:rPr>
                <w:rFonts w:eastAsia="Times New Roman" w:cs="Calibri"/>
                <w:color w:val="000000"/>
                <w:sz w:val="18"/>
                <w:szCs w:val="18"/>
              </w:rPr>
            </w:pPr>
            <w:r w:rsidRPr="00DF73B6">
              <w:rPr>
                <w:rFonts w:eastAsia="Times New Roman" w:cs="Calibri"/>
                <w:color w:val="000000"/>
                <w:sz w:val="18"/>
                <w:szCs w:val="18"/>
              </w:rPr>
              <w:t>2,348</w:t>
            </w:r>
          </w:p>
        </w:tc>
      </w:tr>
      <w:tr w:rsidR="00806233" w:rsidRPr="0073382B" w:rsidTr="00806233">
        <w:trPr>
          <w:trHeight w:val="300"/>
          <w:jc w:val="center"/>
        </w:trPr>
        <w:tc>
          <w:tcPr>
            <w:tcW w:w="22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06233" w:rsidRPr="0073382B" w:rsidRDefault="00690C32" w:rsidP="000A4F16">
            <w:pPr>
              <w:keepNext/>
              <w:spacing w:after="0" w:line="240" w:lineRule="auto"/>
              <w:jc w:val="center"/>
              <w:rPr>
                <w:rFonts w:ascii="Calibri" w:eastAsia="Times New Roman" w:hAnsi="Calibri" w:cs="Calibri"/>
                <w:color w:val="000000"/>
                <w:sz w:val="18"/>
                <w:szCs w:val="18"/>
              </w:rPr>
            </w:pPr>
            <w:hyperlink r:id="rId22" w:anchor="RANGE!C23" w:history="1">
              <w:r w:rsidR="00806233" w:rsidRPr="0073382B">
                <w:rPr>
                  <w:rFonts w:ascii="Calibri" w:eastAsia="Times New Roman" w:hAnsi="Calibri" w:cs="Calibri"/>
                  <w:color w:val="000000"/>
                  <w:sz w:val="18"/>
                  <w:szCs w:val="18"/>
                </w:rPr>
                <w:t>SDG&amp;E</w:t>
              </w:r>
            </w:hyperlink>
          </w:p>
        </w:tc>
        <w:tc>
          <w:tcPr>
            <w:tcW w:w="1021" w:type="dxa"/>
            <w:tcBorders>
              <w:top w:val="nil"/>
              <w:left w:val="nil"/>
              <w:bottom w:val="single" w:sz="4" w:space="0" w:color="auto"/>
              <w:right w:val="single" w:sz="4" w:space="0" w:color="auto"/>
            </w:tcBorders>
            <w:shd w:val="clear" w:color="auto" w:fill="auto"/>
            <w:noWrap/>
            <w:vAlign w:val="center"/>
            <w:hideMark/>
          </w:tcPr>
          <w:p w:rsidR="00806233" w:rsidRPr="00806233" w:rsidRDefault="00690C32" w:rsidP="00806233">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884 </w:t>
            </w:r>
          </w:p>
        </w:tc>
        <w:tc>
          <w:tcPr>
            <w:tcW w:w="899" w:type="dxa"/>
            <w:tcBorders>
              <w:top w:val="nil"/>
              <w:left w:val="nil"/>
              <w:bottom w:val="single" w:sz="4" w:space="0" w:color="auto"/>
              <w:right w:val="single" w:sz="4" w:space="0" w:color="auto"/>
            </w:tcBorders>
            <w:shd w:val="clear" w:color="auto" w:fill="auto"/>
            <w:noWrap/>
            <w:vAlign w:val="center"/>
            <w:hideMark/>
          </w:tcPr>
          <w:p w:rsidR="00806233" w:rsidRPr="00806233" w:rsidRDefault="0094629C" w:rsidP="00806233">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589</w:t>
            </w:r>
          </w:p>
        </w:tc>
        <w:tc>
          <w:tcPr>
            <w:tcW w:w="1040" w:type="dxa"/>
            <w:tcBorders>
              <w:top w:val="nil"/>
              <w:left w:val="nil"/>
              <w:bottom w:val="single" w:sz="4" w:space="0" w:color="auto"/>
              <w:right w:val="single" w:sz="4" w:space="0" w:color="auto"/>
            </w:tcBorders>
            <w:shd w:val="clear" w:color="auto" w:fill="auto"/>
            <w:noWrap/>
            <w:vAlign w:val="center"/>
            <w:hideMark/>
          </w:tcPr>
          <w:p w:rsidR="00806233" w:rsidRPr="00806233" w:rsidRDefault="00690C32" w:rsidP="00806233">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295 </w:t>
            </w:r>
          </w:p>
        </w:tc>
        <w:tc>
          <w:tcPr>
            <w:tcW w:w="1039" w:type="dxa"/>
            <w:tcBorders>
              <w:top w:val="nil"/>
              <w:left w:val="nil"/>
              <w:bottom w:val="single" w:sz="4" w:space="0" w:color="auto"/>
              <w:right w:val="single" w:sz="4" w:space="0" w:color="auto"/>
            </w:tcBorders>
            <w:shd w:val="clear" w:color="auto" w:fill="auto"/>
            <w:noWrap/>
            <w:vAlign w:val="center"/>
            <w:hideMark/>
          </w:tcPr>
          <w:p w:rsidR="00806233" w:rsidRPr="00806233" w:rsidRDefault="00690C32" w:rsidP="00806233">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1,767 </w:t>
            </w:r>
          </w:p>
        </w:tc>
        <w:tc>
          <w:tcPr>
            <w:tcW w:w="899" w:type="dxa"/>
            <w:tcBorders>
              <w:top w:val="nil"/>
              <w:left w:val="nil"/>
              <w:bottom w:val="single" w:sz="4" w:space="0" w:color="auto"/>
              <w:right w:val="single" w:sz="4" w:space="0" w:color="auto"/>
            </w:tcBorders>
            <w:shd w:val="clear" w:color="auto" w:fill="auto"/>
            <w:noWrap/>
            <w:vAlign w:val="center"/>
            <w:hideMark/>
          </w:tcPr>
          <w:p w:rsidR="00F73609" w:rsidRP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1,178 </w:t>
            </w:r>
          </w:p>
        </w:tc>
        <w:tc>
          <w:tcPr>
            <w:tcW w:w="1062" w:type="dxa"/>
            <w:tcBorders>
              <w:top w:val="nil"/>
              <w:left w:val="nil"/>
              <w:bottom w:val="single" w:sz="4" w:space="0" w:color="auto"/>
              <w:right w:val="single" w:sz="4" w:space="0" w:color="auto"/>
            </w:tcBorders>
            <w:shd w:val="clear" w:color="auto" w:fill="auto"/>
            <w:noWrap/>
            <w:vAlign w:val="center"/>
            <w:hideMark/>
          </w:tcPr>
          <w:p w:rsidR="00F73609" w:rsidRP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589 </w:t>
            </w:r>
          </w:p>
        </w:tc>
      </w:tr>
    </w:tbl>
    <w:p w:rsidR="00DF73B6" w:rsidRDefault="00DF73B6" w:rsidP="0073382B">
      <w:pPr>
        <w:pStyle w:val="BodyParaAfterTableFigure"/>
      </w:pPr>
    </w:p>
    <w:p w:rsidR="000A4F16" w:rsidRDefault="00132976" w:rsidP="009516A6">
      <w:pPr>
        <w:pStyle w:val="BodyParaAfterTableFigure"/>
      </w:pPr>
      <w:r>
        <w:t>Table 3-</w:t>
      </w:r>
      <w:r w:rsidR="003500B3">
        <w:t>5</w:t>
      </w:r>
      <w:r>
        <w:t xml:space="preserve"> shows the expected trajectory of load impacts for August 1-in-10 conditions for the period 2013-2023.  </w:t>
      </w:r>
      <w:r w:rsidR="003500B3">
        <w:t xml:space="preserve">Table 3-6 shows the same for August 1-in-2 conditions.  </w:t>
      </w:r>
      <w:r>
        <w:t xml:space="preserve">Each installation is expected to last a minimum of five years, after which we have assumed a degradation in load impacts of </w:t>
      </w:r>
      <w:r w:rsidR="00ED3E1E">
        <w:t>about 2.5</w:t>
      </w:r>
      <w:r w:rsidR="003A1142">
        <w:t>%</w:t>
      </w:r>
      <w:r>
        <w:t xml:space="preserve"> per year</w:t>
      </w:r>
      <w:r w:rsidR="00405426">
        <w:t xml:space="preserve"> (which increases over time as constant absolute degradation becomes a greater part of the total)</w:t>
      </w:r>
      <w:r>
        <w:t>, which corresponds to an expected life of about 20</w:t>
      </w:r>
      <w:r w:rsidR="003500B3">
        <w:t xml:space="preserve"> </w:t>
      </w:r>
      <w:r>
        <w:t>years for each installation.</w:t>
      </w:r>
      <w:r w:rsidR="003A1142">
        <w:rPr>
          <w:rStyle w:val="FootnoteReference"/>
        </w:rPr>
        <w:footnoteReference w:id="12"/>
      </w:r>
      <w:r w:rsidR="005951DA">
        <w:t xml:space="preserve">  We have assumed the same degradation factor for each month within a given year so that the percentage difference measured May over May would be identical to the difference measured June over June and so forth.  The degradation factor is a major simplification of what will likely become a complex issue if the program </w:t>
      </w:r>
      <w:r w:rsidR="00B6451F">
        <w:t>continues</w:t>
      </w:r>
      <w:r w:rsidR="005951DA">
        <w:t xml:space="preserve"> over the next decade.  Similar to the issue of projecting PLS enrollment, this is a primarily an empirical question that is unlikely to be determined accurately in advance.  PLS systems are too complex and their continued function is based on too many variables for a theoretical </w:t>
      </w:r>
      <w:r w:rsidR="00DF73B6">
        <w:t>analysis</w:t>
      </w:r>
      <w:r w:rsidR="005951DA">
        <w:t xml:space="preserve"> to have any </w:t>
      </w:r>
      <w:r w:rsidR="009F1F7A">
        <w:t>serious</w:t>
      </w:r>
      <w:r w:rsidR="005951DA">
        <w:t xml:space="preserve"> hope of accuracy.  Therefore, we have chosen a simple set of values for degradation that dovetail with the assumptions that utility staff consider reasonable</w:t>
      </w:r>
      <w:r w:rsidR="00DF73B6">
        <w:t>; and we recognize the significant uncertainty associated with these projections.</w:t>
      </w:r>
    </w:p>
    <w:p w:rsidR="0073382B" w:rsidRPr="0073382B" w:rsidRDefault="0073382B" w:rsidP="0073382B">
      <w:pPr>
        <w:pStyle w:val="BodyParagraph"/>
        <w:keepNext/>
        <w:jc w:val="center"/>
        <w:rPr>
          <w:b/>
        </w:rPr>
      </w:pPr>
      <w:r w:rsidRPr="00AB5E8C">
        <w:rPr>
          <w:b/>
        </w:rPr>
        <w:t>Table 3-</w:t>
      </w:r>
      <w:r w:rsidR="00DF73B6">
        <w:rPr>
          <w:b/>
        </w:rPr>
        <w:t>5</w:t>
      </w:r>
      <w:r w:rsidRPr="00AB5E8C">
        <w:rPr>
          <w:b/>
        </w:rPr>
        <w:t xml:space="preserve">: Ex Ante Impact Estimates </w:t>
      </w:r>
      <w:r>
        <w:rPr>
          <w:b/>
        </w:rPr>
        <w:t>12-6 PM on Monthly Peak Days for August 1-in-10 Peak Days for 2014-2023 (kW)</w:t>
      </w:r>
    </w:p>
    <w:tbl>
      <w:tblPr>
        <w:tblW w:w="8203" w:type="dxa"/>
        <w:jc w:val="center"/>
        <w:tblLook w:val="04A0"/>
      </w:tblPr>
      <w:tblGrid>
        <w:gridCol w:w="824"/>
        <w:gridCol w:w="1530"/>
        <w:gridCol w:w="869"/>
        <w:gridCol w:w="980"/>
        <w:gridCol w:w="1000"/>
        <w:gridCol w:w="1000"/>
        <w:gridCol w:w="1000"/>
        <w:gridCol w:w="1000"/>
      </w:tblGrid>
      <w:tr w:rsidR="0073382B" w:rsidRPr="0073382B" w:rsidTr="0073382B">
        <w:trPr>
          <w:trHeight w:val="300"/>
          <w:jc w:val="center"/>
        </w:trPr>
        <w:tc>
          <w:tcPr>
            <w:tcW w:w="824" w:type="dxa"/>
            <w:vMerge w:val="restart"/>
            <w:tcBorders>
              <w:top w:val="single" w:sz="8" w:space="0" w:color="auto"/>
              <w:left w:val="single" w:sz="8" w:space="0" w:color="auto"/>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Utility</w:t>
            </w:r>
          </w:p>
        </w:tc>
        <w:tc>
          <w:tcPr>
            <w:tcW w:w="153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LCA</w:t>
            </w:r>
          </w:p>
        </w:tc>
        <w:tc>
          <w:tcPr>
            <w:tcW w:w="869"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2014</w:t>
            </w:r>
          </w:p>
        </w:tc>
        <w:tc>
          <w:tcPr>
            <w:tcW w:w="98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2015-2019</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2020</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2021</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2022</w:t>
            </w:r>
          </w:p>
        </w:tc>
        <w:tc>
          <w:tcPr>
            <w:tcW w:w="1000" w:type="dxa"/>
            <w:vMerge w:val="restart"/>
            <w:tcBorders>
              <w:top w:val="single" w:sz="8" w:space="0" w:color="auto"/>
              <w:left w:val="single" w:sz="8" w:space="0" w:color="FFFBF0"/>
              <w:bottom w:val="single" w:sz="4" w:space="0" w:color="auto"/>
              <w:right w:val="single" w:sz="4" w:space="0" w:color="auto"/>
            </w:tcBorders>
            <w:shd w:val="clear" w:color="000000" w:fill="1F497D"/>
            <w:noWrap/>
            <w:vAlign w:val="center"/>
            <w:hideMark/>
          </w:tcPr>
          <w:p w:rsidR="0073382B" w:rsidRPr="0073382B" w:rsidRDefault="0073382B" w:rsidP="0073382B">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2023</w:t>
            </w:r>
          </w:p>
        </w:tc>
      </w:tr>
      <w:tr w:rsidR="0073382B" w:rsidRPr="0073382B" w:rsidTr="0073382B">
        <w:trPr>
          <w:trHeight w:val="300"/>
          <w:jc w:val="center"/>
        </w:trPr>
        <w:tc>
          <w:tcPr>
            <w:tcW w:w="824" w:type="dxa"/>
            <w:vMerge/>
            <w:tcBorders>
              <w:top w:val="single" w:sz="8" w:space="0" w:color="auto"/>
              <w:left w:val="single" w:sz="8" w:space="0" w:color="auto"/>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1530"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869"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980"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single" w:sz="4" w:space="0" w:color="auto"/>
              <w:right w:val="single" w:sz="4" w:space="0" w:color="auto"/>
            </w:tcBorders>
            <w:vAlign w:val="center"/>
            <w:hideMark/>
          </w:tcPr>
          <w:p w:rsidR="0073382B" w:rsidRPr="0073382B" w:rsidRDefault="0073382B" w:rsidP="0073382B">
            <w:pPr>
              <w:keepNext/>
              <w:spacing w:after="0" w:line="240" w:lineRule="auto"/>
              <w:rPr>
                <w:rFonts w:ascii="Calibri" w:eastAsia="Times New Roman" w:hAnsi="Calibri" w:cs="Times New Roman"/>
                <w:b/>
                <w:bCs/>
                <w:color w:val="FFFFFF"/>
                <w:sz w:val="18"/>
                <w:szCs w:val="18"/>
              </w:rPr>
            </w:pPr>
          </w:p>
        </w:tc>
      </w:tr>
      <w:tr w:rsidR="0073382B" w:rsidRPr="0073382B" w:rsidTr="0073382B">
        <w:trPr>
          <w:trHeight w:val="300"/>
          <w:jc w:val="center"/>
        </w:trPr>
        <w:tc>
          <w:tcPr>
            <w:tcW w:w="8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PG&amp;E</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Bay Area</w:t>
            </w:r>
          </w:p>
        </w:tc>
        <w:tc>
          <w:tcPr>
            <w:tcW w:w="869"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404</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743</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724</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706</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687</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669</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Fresno</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701</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701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683</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666</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648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631</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Humboldt</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112</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106</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Kern</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689</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672</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655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637</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620</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Northern Coast</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693</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1,338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1,305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1,271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1,238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1,204</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Other</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569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555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541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526</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512</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Sierra</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241</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241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235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223</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217</w:t>
            </w:r>
          </w:p>
        </w:tc>
      </w:tr>
      <w:tr w:rsidR="0073382B" w:rsidRPr="0073382B" w:rsidTr="0073382B">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Stockton</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686</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669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652</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635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617</w:t>
            </w:r>
          </w:p>
        </w:tc>
      </w:tr>
      <w:tr w:rsidR="004529D1" w:rsidRPr="0073382B" w:rsidTr="004529D1">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4529D1" w:rsidRPr="0073382B" w:rsidRDefault="004529D1"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4529D1" w:rsidRPr="0073382B" w:rsidRDefault="004529D1"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869" w:type="dxa"/>
            <w:tcBorders>
              <w:top w:val="nil"/>
              <w:left w:val="nil"/>
              <w:bottom w:val="single" w:sz="4" w:space="0" w:color="auto"/>
              <w:right w:val="single" w:sz="4" w:space="0" w:color="auto"/>
            </w:tcBorders>
            <w:shd w:val="clear" w:color="auto" w:fill="auto"/>
            <w:noWrap/>
            <w:vAlign w:val="center"/>
            <w:hideMark/>
          </w:tcPr>
          <w:p w:rsidR="004529D1" w:rsidRPr="0073382B" w:rsidRDefault="004529D1"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2,728</w:t>
            </w:r>
          </w:p>
        </w:tc>
        <w:tc>
          <w:tcPr>
            <w:tcW w:w="980" w:type="dxa"/>
            <w:tcBorders>
              <w:top w:val="nil"/>
              <w:left w:val="nil"/>
              <w:bottom w:val="single" w:sz="4" w:space="0" w:color="auto"/>
              <w:right w:val="single" w:sz="4" w:space="0" w:color="auto"/>
            </w:tcBorders>
            <w:shd w:val="clear" w:color="auto" w:fill="auto"/>
            <w:noWrap/>
            <w:vAlign w:val="center"/>
            <w:hideMark/>
          </w:tcPr>
          <w:p w:rsidR="004529D1" w:rsidRPr="0073382B" w:rsidRDefault="004529D1" w:rsidP="004529D1">
            <w:pPr>
              <w:keepNext/>
              <w:spacing w:after="0" w:line="240" w:lineRule="auto"/>
              <w:jc w:val="center"/>
              <w:rPr>
                <w:rFonts w:ascii="Calibri" w:eastAsia="Times New Roman" w:hAnsi="Calibri" w:cs="Calibri"/>
                <w:color w:val="000000"/>
                <w:sz w:val="18"/>
                <w:szCs w:val="18"/>
              </w:rPr>
            </w:pPr>
            <w:r>
              <w:rPr>
                <w:rFonts w:ascii="Calibri" w:hAnsi="Calibri"/>
                <w:color w:val="000000"/>
                <w:sz w:val="18"/>
                <w:szCs w:val="18"/>
              </w:rPr>
              <w:t xml:space="preserve">5,085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4529D1">
            <w:pPr>
              <w:keepNext/>
              <w:spacing w:after="0" w:line="240" w:lineRule="auto"/>
              <w:jc w:val="center"/>
              <w:rPr>
                <w:rFonts w:ascii="Calibri" w:eastAsia="Times New Roman" w:hAnsi="Calibri" w:cs="Calibri"/>
                <w:color w:val="000000"/>
                <w:sz w:val="18"/>
                <w:szCs w:val="18"/>
              </w:rPr>
            </w:pPr>
            <w:r>
              <w:rPr>
                <w:rFonts w:ascii="Calibri" w:hAnsi="Calibri"/>
                <w:color w:val="000000"/>
                <w:sz w:val="18"/>
                <w:szCs w:val="18"/>
              </w:rPr>
              <w:t xml:space="preserve">4,958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4529D1">
            <w:pPr>
              <w:keepNext/>
              <w:spacing w:after="0" w:line="240" w:lineRule="auto"/>
              <w:jc w:val="center"/>
              <w:rPr>
                <w:rFonts w:ascii="Calibri" w:eastAsia="Times New Roman" w:hAnsi="Calibri" w:cs="Calibri"/>
                <w:color w:val="000000"/>
                <w:sz w:val="18"/>
                <w:szCs w:val="18"/>
              </w:rPr>
            </w:pPr>
            <w:r>
              <w:rPr>
                <w:rFonts w:ascii="Calibri" w:hAnsi="Calibri"/>
                <w:color w:val="000000"/>
                <w:sz w:val="18"/>
                <w:szCs w:val="18"/>
              </w:rPr>
              <w:t xml:space="preserve">4,831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4529D1">
            <w:pPr>
              <w:keepNext/>
              <w:spacing w:after="0" w:line="240" w:lineRule="auto"/>
              <w:jc w:val="center"/>
              <w:rPr>
                <w:rFonts w:ascii="Calibri" w:eastAsia="Times New Roman" w:hAnsi="Calibri" w:cs="Calibri"/>
                <w:color w:val="000000"/>
                <w:sz w:val="18"/>
                <w:szCs w:val="18"/>
              </w:rPr>
            </w:pPr>
            <w:r>
              <w:rPr>
                <w:rFonts w:ascii="Calibri" w:hAnsi="Calibri"/>
                <w:color w:val="000000"/>
                <w:sz w:val="18"/>
                <w:szCs w:val="18"/>
              </w:rPr>
              <w:t xml:space="preserve">4,704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4529D1">
            <w:pPr>
              <w:keepNext/>
              <w:spacing w:after="0" w:line="240" w:lineRule="auto"/>
              <w:jc w:val="center"/>
              <w:rPr>
                <w:rFonts w:ascii="Calibri" w:eastAsia="Times New Roman" w:hAnsi="Calibri" w:cs="Calibri"/>
                <w:color w:val="000000"/>
                <w:sz w:val="18"/>
                <w:szCs w:val="18"/>
              </w:rPr>
            </w:pPr>
            <w:r>
              <w:rPr>
                <w:rFonts w:ascii="Calibri" w:hAnsi="Calibri"/>
                <w:color w:val="000000"/>
                <w:sz w:val="18"/>
                <w:szCs w:val="18"/>
              </w:rPr>
              <w:t xml:space="preserve">4,577 </w:t>
            </w:r>
          </w:p>
        </w:tc>
      </w:tr>
      <w:tr w:rsidR="0073382B" w:rsidRPr="0073382B" w:rsidTr="0073382B">
        <w:trPr>
          <w:trHeight w:val="300"/>
          <w:jc w:val="center"/>
        </w:trPr>
        <w:tc>
          <w:tcPr>
            <w:tcW w:w="82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SCE</w:t>
            </w: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LA Basin</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1,136</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2,272</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2,215</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2,158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2,102</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2,045</w:t>
            </w:r>
          </w:p>
        </w:tc>
      </w:tr>
      <w:tr w:rsidR="0073382B" w:rsidRPr="0073382B" w:rsidTr="0073382B">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Outside LA Basin</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737</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1,473</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1,436</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1,399</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1,363</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1,326</w:t>
            </w:r>
          </w:p>
        </w:tc>
      </w:tr>
      <w:tr w:rsidR="0073382B" w:rsidRPr="0073382B" w:rsidTr="0073382B">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Ventura</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874</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1,748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1,704</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1,661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1,617</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1,573</w:t>
            </w:r>
          </w:p>
        </w:tc>
      </w:tr>
      <w:tr w:rsidR="0073382B" w:rsidRPr="0073382B" w:rsidTr="0073382B">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869"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2,747</w:t>
            </w:r>
          </w:p>
        </w:tc>
        <w:tc>
          <w:tcPr>
            <w:tcW w:w="98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5,493</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5,356</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5,218</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5,081</w:t>
            </w:r>
          </w:p>
        </w:tc>
        <w:tc>
          <w:tcPr>
            <w:tcW w:w="1000" w:type="dxa"/>
            <w:tcBorders>
              <w:top w:val="nil"/>
              <w:left w:val="nil"/>
              <w:bottom w:val="single" w:sz="4" w:space="0" w:color="auto"/>
              <w:right w:val="single" w:sz="4" w:space="0" w:color="auto"/>
            </w:tcBorders>
            <w:shd w:val="clear" w:color="auto" w:fill="auto"/>
            <w:noWrap/>
            <w:vAlign w:val="center"/>
            <w:hideMark/>
          </w:tcPr>
          <w:p w:rsidR="0073382B" w:rsidRPr="0073382B" w:rsidRDefault="0073382B" w:rsidP="0073382B">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4,944</w:t>
            </w:r>
          </w:p>
        </w:tc>
      </w:tr>
      <w:tr w:rsidR="00806233" w:rsidRPr="0073382B" w:rsidTr="00806233">
        <w:trPr>
          <w:trHeight w:val="300"/>
          <w:jc w:val="center"/>
        </w:trPr>
        <w:tc>
          <w:tcPr>
            <w:tcW w:w="235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06233" w:rsidRPr="0073382B" w:rsidRDefault="00690C32" w:rsidP="0073382B">
            <w:pPr>
              <w:spacing w:after="0" w:line="240" w:lineRule="auto"/>
              <w:jc w:val="center"/>
              <w:rPr>
                <w:rFonts w:ascii="Calibri" w:eastAsia="Times New Roman" w:hAnsi="Calibri" w:cs="Calibri"/>
                <w:color w:val="000000"/>
                <w:sz w:val="18"/>
                <w:szCs w:val="18"/>
              </w:rPr>
            </w:pPr>
            <w:hyperlink r:id="rId23" w:anchor="RANGE!C23" w:history="1">
              <w:r w:rsidR="00806233" w:rsidRPr="0073382B">
                <w:rPr>
                  <w:rFonts w:ascii="Calibri" w:eastAsia="Times New Roman" w:hAnsi="Calibri" w:cs="Calibri"/>
                  <w:color w:val="000000"/>
                  <w:sz w:val="18"/>
                  <w:szCs w:val="18"/>
                </w:rPr>
                <w:t>SDG&amp;E</w:t>
              </w:r>
            </w:hyperlink>
          </w:p>
        </w:tc>
        <w:tc>
          <w:tcPr>
            <w:tcW w:w="869"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746 </w:t>
            </w:r>
          </w:p>
        </w:tc>
        <w:tc>
          <w:tcPr>
            <w:tcW w:w="98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1,492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1,455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1,417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1,380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1,343 </w:t>
            </w:r>
          </w:p>
        </w:tc>
      </w:tr>
    </w:tbl>
    <w:p w:rsidR="00DF73B6" w:rsidRPr="0073382B" w:rsidRDefault="00DF73B6" w:rsidP="00DF73B6">
      <w:pPr>
        <w:pStyle w:val="BodyParagraph"/>
        <w:keepNext/>
        <w:jc w:val="center"/>
        <w:rPr>
          <w:b/>
        </w:rPr>
      </w:pPr>
      <w:r w:rsidRPr="00AB5E8C">
        <w:rPr>
          <w:b/>
        </w:rPr>
        <w:t>Table 3-</w:t>
      </w:r>
      <w:r>
        <w:rPr>
          <w:b/>
        </w:rPr>
        <w:t>6</w:t>
      </w:r>
      <w:r w:rsidRPr="00AB5E8C">
        <w:rPr>
          <w:b/>
        </w:rPr>
        <w:t xml:space="preserve">: Ex Ante Impact Estimates </w:t>
      </w:r>
      <w:r>
        <w:rPr>
          <w:b/>
        </w:rPr>
        <w:t>12-6 PM on Monthly Peak Days for August 1-in-2 Peak Days for 2014-2023 (kW)</w:t>
      </w:r>
    </w:p>
    <w:tbl>
      <w:tblPr>
        <w:tblW w:w="8203" w:type="dxa"/>
        <w:jc w:val="center"/>
        <w:tblLook w:val="04A0"/>
      </w:tblPr>
      <w:tblGrid>
        <w:gridCol w:w="824"/>
        <w:gridCol w:w="1530"/>
        <w:gridCol w:w="869"/>
        <w:gridCol w:w="980"/>
        <w:gridCol w:w="1000"/>
        <w:gridCol w:w="1000"/>
        <w:gridCol w:w="1000"/>
        <w:gridCol w:w="1000"/>
      </w:tblGrid>
      <w:tr w:rsidR="00DF73B6" w:rsidRPr="0073382B" w:rsidTr="000A4F16">
        <w:trPr>
          <w:trHeight w:val="300"/>
          <w:jc w:val="center"/>
        </w:trPr>
        <w:tc>
          <w:tcPr>
            <w:tcW w:w="824" w:type="dxa"/>
            <w:vMerge w:val="restart"/>
            <w:tcBorders>
              <w:top w:val="single" w:sz="8" w:space="0" w:color="auto"/>
              <w:left w:val="single" w:sz="8" w:space="0" w:color="auto"/>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Utility</w:t>
            </w:r>
          </w:p>
        </w:tc>
        <w:tc>
          <w:tcPr>
            <w:tcW w:w="153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LCA</w:t>
            </w:r>
          </w:p>
        </w:tc>
        <w:tc>
          <w:tcPr>
            <w:tcW w:w="869"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2014</w:t>
            </w:r>
          </w:p>
        </w:tc>
        <w:tc>
          <w:tcPr>
            <w:tcW w:w="98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2015-2019</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2020</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2021</w:t>
            </w:r>
          </w:p>
        </w:tc>
        <w:tc>
          <w:tcPr>
            <w:tcW w:w="1000" w:type="dxa"/>
            <w:vMerge w:val="restart"/>
            <w:tcBorders>
              <w:top w:val="single" w:sz="8" w:space="0" w:color="auto"/>
              <w:left w:val="single" w:sz="8" w:space="0" w:color="FFFBF0"/>
              <w:bottom w:val="nil"/>
              <w:right w:val="single" w:sz="8" w:space="0" w:color="FFFBF0"/>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2022</w:t>
            </w:r>
          </w:p>
        </w:tc>
        <w:tc>
          <w:tcPr>
            <w:tcW w:w="1000" w:type="dxa"/>
            <w:vMerge w:val="restart"/>
            <w:tcBorders>
              <w:top w:val="single" w:sz="8" w:space="0" w:color="auto"/>
              <w:left w:val="single" w:sz="8" w:space="0" w:color="FFFBF0"/>
              <w:bottom w:val="single" w:sz="4" w:space="0" w:color="auto"/>
              <w:right w:val="single" w:sz="4" w:space="0" w:color="auto"/>
            </w:tcBorders>
            <w:shd w:val="clear" w:color="000000" w:fill="1F497D"/>
            <w:noWrap/>
            <w:vAlign w:val="center"/>
            <w:hideMark/>
          </w:tcPr>
          <w:p w:rsidR="00DF73B6" w:rsidRPr="0073382B" w:rsidRDefault="00DF73B6" w:rsidP="000A4F16">
            <w:pPr>
              <w:keepNext/>
              <w:spacing w:after="0" w:line="240" w:lineRule="auto"/>
              <w:jc w:val="center"/>
              <w:rPr>
                <w:rFonts w:ascii="Calibri" w:eastAsia="Times New Roman" w:hAnsi="Calibri" w:cs="Times New Roman"/>
                <w:b/>
                <w:bCs/>
                <w:color w:val="FFFFFF"/>
                <w:sz w:val="18"/>
                <w:szCs w:val="18"/>
              </w:rPr>
            </w:pPr>
            <w:r w:rsidRPr="0073382B">
              <w:rPr>
                <w:rFonts w:ascii="Calibri" w:eastAsia="Times New Roman" w:hAnsi="Calibri" w:cs="Times New Roman"/>
                <w:b/>
                <w:bCs/>
                <w:color w:val="FFFFFF"/>
                <w:sz w:val="18"/>
                <w:szCs w:val="18"/>
              </w:rPr>
              <w:t>2023</w:t>
            </w:r>
          </w:p>
        </w:tc>
      </w:tr>
      <w:tr w:rsidR="00DF73B6" w:rsidRPr="0073382B" w:rsidTr="000A4F16">
        <w:trPr>
          <w:trHeight w:val="300"/>
          <w:jc w:val="center"/>
        </w:trPr>
        <w:tc>
          <w:tcPr>
            <w:tcW w:w="824" w:type="dxa"/>
            <w:vMerge/>
            <w:tcBorders>
              <w:top w:val="single" w:sz="8" w:space="0" w:color="auto"/>
              <w:left w:val="single" w:sz="8" w:space="0" w:color="auto"/>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1530"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869"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980"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nil"/>
              <w:right w:val="single" w:sz="8" w:space="0" w:color="FFFBF0"/>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c>
          <w:tcPr>
            <w:tcW w:w="1000" w:type="dxa"/>
            <w:vMerge/>
            <w:tcBorders>
              <w:top w:val="single" w:sz="8" w:space="0" w:color="auto"/>
              <w:left w:val="single" w:sz="8" w:space="0" w:color="FFFBF0"/>
              <w:bottom w:val="single" w:sz="4" w:space="0" w:color="auto"/>
              <w:right w:val="single" w:sz="4" w:space="0" w:color="auto"/>
            </w:tcBorders>
            <w:vAlign w:val="center"/>
            <w:hideMark/>
          </w:tcPr>
          <w:p w:rsidR="00DF73B6" w:rsidRPr="0073382B" w:rsidRDefault="00DF73B6" w:rsidP="000A4F16">
            <w:pPr>
              <w:keepNext/>
              <w:spacing w:after="0" w:line="240" w:lineRule="auto"/>
              <w:rPr>
                <w:rFonts w:ascii="Calibri" w:eastAsia="Times New Roman" w:hAnsi="Calibri" w:cs="Times New Roman"/>
                <w:b/>
                <w:bCs/>
                <w:color w:val="FFFFFF"/>
                <w:sz w:val="18"/>
                <w:szCs w:val="18"/>
              </w:rPr>
            </w:pPr>
          </w:p>
        </w:tc>
      </w:tr>
      <w:tr w:rsidR="003500B3" w:rsidRPr="0073382B" w:rsidTr="003500B3">
        <w:trPr>
          <w:trHeight w:val="300"/>
          <w:jc w:val="center"/>
        </w:trPr>
        <w:tc>
          <w:tcPr>
            <w:tcW w:w="8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PG&amp;E</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Bay Area</w:t>
            </w:r>
          </w:p>
        </w:tc>
        <w:tc>
          <w:tcPr>
            <w:tcW w:w="869"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408</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721</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703</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685</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667</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649</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Greater Fresno</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611</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611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596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580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565</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550</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Humboldt</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9102DB" w:rsidP="003500B3">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78</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74</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72</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70</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Kern</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590</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590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575</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561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546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531</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Northern Coast</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671</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1,357</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1,323</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1,289</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1,255</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1,221</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Other</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9102DB" w:rsidP="003500B3">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789</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769</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750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730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710</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Sierra</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254</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254</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248</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241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235</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229</w:t>
            </w:r>
          </w:p>
        </w:tc>
      </w:tr>
      <w:tr w:rsidR="003500B3" w:rsidRPr="0073382B" w:rsidTr="003500B3">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Stockton</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9102DB" w:rsidP="003500B3">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655</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639</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622</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606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590</w:t>
            </w:r>
          </w:p>
        </w:tc>
      </w:tr>
      <w:tr w:rsidR="004529D1" w:rsidRPr="0073382B" w:rsidTr="004529D1">
        <w:trPr>
          <w:trHeight w:val="300"/>
          <w:jc w:val="center"/>
        </w:trPr>
        <w:tc>
          <w:tcPr>
            <w:tcW w:w="824" w:type="dxa"/>
            <w:vMerge/>
            <w:tcBorders>
              <w:top w:val="single" w:sz="4" w:space="0" w:color="auto"/>
              <w:left w:val="single" w:sz="4" w:space="0" w:color="auto"/>
              <w:bottom w:val="single" w:sz="4" w:space="0" w:color="auto"/>
              <w:right w:val="single" w:sz="4" w:space="0" w:color="auto"/>
            </w:tcBorders>
            <w:vAlign w:val="center"/>
            <w:hideMark/>
          </w:tcPr>
          <w:p w:rsidR="004529D1" w:rsidRPr="0073382B" w:rsidRDefault="004529D1"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4529D1" w:rsidRPr="0073382B" w:rsidRDefault="004529D1"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869" w:type="dxa"/>
            <w:tcBorders>
              <w:top w:val="nil"/>
              <w:left w:val="nil"/>
              <w:bottom w:val="single" w:sz="4" w:space="0" w:color="auto"/>
              <w:right w:val="single" w:sz="4" w:space="0" w:color="auto"/>
            </w:tcBorders>
            <w:shd w:val="clear" w:color="auto" w:fill="auto"/>
            <w:noWrap/>
            <w:vAlign w:val="center"/>
            <w:hideMark/>
          </w:tcPr>
          <w:p w:rsidR="004529D1" w:rsidRPr="003500B3" w:rsidRDefault="004529D1"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2,534</w:t>
            </w:r>
          </w:p>
        </w:tc>
        <w:tc>
          <w:tcPr>
            <w:tcW w:w="980" w:type="dxa"/>
            <w:tcBorders>
              <w:top w:val="nil"/>
              <w:left w:val="nil"/>
              <w:bottom w:val="single" w:sz="4" w:space="0" w:color="auto"/>
              <w:right w:val="single" w:sz="4" w:space="0" w:color="auto"/>
            </w:tcBorders>
            <w:shd w:val="clear" w:color="auto" w:fill="auto"/>
            <w:noWrap/>
            <w:vAlign w:val="center"/>
            <w:hideMark/>
          </w:tcPr>
          <w:p w:rsidR="004529D1" w:rsidRPr="004529D1" w:rsidRDefault="004529D1" w:rsidP="004529D1">
            <w:pPr>
              <w:keepNext/>
              <w:spacing w:after="0" w:line="240" w:lineRule="auto"/>
              <w:jc w:val="center"/>
              <w:rPr>
                <w:rFonts w:ascii="Calibri" w:eastAsia="Times New Roman" w:hAnsi="Calibri" w:cs="Calibri"/>
                <w:color w:val="000000"/>
                <w:sz w:val="18"/>
                <w:szCs w:val="18"/>
              </w:rPr>
            </w:pPr>
            <w:r w:rsidRPr="004529D1">
              <w:rPr>
                <w:rFonts w:ascii="Calibri" w:hAnsi="Calibri"/>
                <w:color w:val="000000"/>
                <w:sz w:val="18"/>
                <w:szCs w:val="18"/>
              </w:rPr>
              <w:t>5,055</w:t>
            </w:r>
          </w:p>
        </w:tc>
        <w:tc>
          <w:tcPr>
            <w:tcW w:w="1000" w:type="dxa"/>
            <w:tcBorders>
              <w:top w:val="nil"/>
              <w:left w:val="nil"/>
              <w:bottom w:val="single" w:sz="4" w:space="0" w:color="auto"/>
              <w:right w:val="single" w:sz="4" w:space="0" w:color="auto"/>
            </w:tcBorders>
            <w:shd w:val="clear" w:color="auto" w:fill="auto"/>
            <w:noWrap/>
            <w:vAlign w:val="center"/>
            <w:hideMark/>
          </w:tcPr>
          <w:p w:rsidR="004529D1" w:rsidRPr="004529D1" w:rsidRDefault="00F73609" w:rsidP="004529D1">
            <w:pPr>
              <w:keepNext/>
              <w:spacing w:after="0" w:line="240" w:lineRule="auto"/>
              <w:jc w:val="center"/>
              <w:rPr>
                <w:rFonts w:ascii="Calibri" w:eastAsia="Times New Roman" w:hAnsi="Calibri" w:cs="Calibri"/>
                <w:color w:val="000000"/>
                <w:sz w:val="18"/>
                <w:szCs w:val="18"/>
              </w:rPr>
            </w:pPr>
            <w:r w:rsidRPr="00F73609">
              <w:rPr>
                <w:rFonts w:ascii="Calibri" w:hAnsi="Calibri"/>
                <w:color w:val="000000"/>
                <w:sz w:val="18"/>
                <w:szCs w:val="18"/>
              </w:rPr>
              <w:t xml:space="preserve">4,929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ascii="Calibri" w:eastAsia="Times New Roman" w:hAnsi="Calibri" w:cs="Calibri"/>
                <w:color w:val="000000"/>
                <w:sz w:val="18"/>
                <w:szCs w:val="18"/>
              </w:rPr>
            </w:pPr>
            <w:r w:rsidRPr="00F73609">
              <w:rPr>
                <w:rFonts w:ascii="Calibri" w:hAnsi="Calibri"/>
                <w:color w:val="000000"/>
                <w:sz w:val="18"/>
                <w:szCs w:val="18"/>
              </w:rPr>
              <w:t xml:space="preserve">4,802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F73609">
            <w:pPr>
              <w:keepNext/>
              <w:spacing w:after="0" w:line="240" w:lineRule="auto"/>
              <w:jc w:val="center"/>
              <w:rPr>
                <w:rFonts w:ascii="Calibri" w:eastAsia="Times New Roman" w:hAnsi="Calibri" w:cs="Calibri"/>
                <w:color w:val="000000"/>
                <w:sz w:val="18"/>
                <w:szCs w:val="18"/>
              </w:rPr>
            </w:pPr>
            <w:r w:rsidRPr="00F73609">
              <w:rPr>
                <w:rFonts w:ascii="Calibri" w:hAnsi="Calibri"/>
                <w:color w:val="000000"/>
                <w:sz w:val="18"/>
                <w:szCs w:val="18"/>
              </w:rPr>
              <w:t xml:space="preserve">4,676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hAnsi="Calibri"/>
                <w:color w:val="000000"/>
                <w:sz w:val="18"/>
                <w:szCs w:val="18"/>
              </w:rPr>
              <w:t xml:space="preserve">4,550 </w:t>
            </w:r>
          </w:p>
        </w:tc>
      </w:tr>
      <w:tr w:rsidR="003500B3" w:rsidRPr="0073382B" w:rsidTr="003500B3">
        <w:trPr>
          <w:trHeight w:val="300"/>
          <w:jc w:val="center"/>
        </w:trPr>
        <w:tc>
          <w:tcPr>
            <w:tcW w:w="82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SCE</w:t>
            </w: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LA Basin</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804</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1607</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1,567</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1,527</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1,486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1,446</w:t>
            </w:r>
          </w:p>
        </w:tc>
      </w:tr>
      <w:tr w:rsidR="003500B3" w:rsidRPr="0073382B" w:rsidTr="003500B3">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Outside LA Basin</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729</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1457</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1,421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1,384</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1,348</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1,311</w:t>
            </w:r>
          </w:p>
        </w:tc>
      </w:tr>
      <w:tr w:rsidR="003500B3" w:rsidRPr="0073382B" w:rsidTr="003500B3">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Ventura</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816</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1632</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1,591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1,550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1,510</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1,469</w:t>
            </w:r>
          </w:p>
        </w:tc>
      </w:tr>
      <w:tr w:rsidR="003500B3" w:rsidRPr="0073382B" w:rsidTr="003500B3">
        <w:trPr>
          <w:trHeight w:val="300"/>
          <w:jc w:val="center"/>
        </w:trPr>
        <w:tc>
          <w:tcPr>
            <w:tcW w:w="824" w:type="dxa"/>
            <w:vMerge/>
            <w:tcBorders>
              <w:top w:val="nil"/>
              <w:left w:val="single" w:sz="4" w:space="0" w:color="auto"/>
              <w:bottom w:val="single" w:sz="4" w:space="0" w:color="auto"/>
              <w:right w:val="single" w:sz="4" w:space="0" w:color="auto"/>
            </w:tcBorders>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p>
        </w:tc>
        <w:tc>
          <w:tcPr>
            <w:tcW w:w="1530" w:type="dxa"/>
            <w:tcBorders>
              <w:top w:val="nil"/>
              <w:left w:val="nil"/>
              <w:bottom w:val="single" w:sz="4" w:space="0" w:color="auto"/>
              <w:right w:val="single" w:sz="4" w:space="0" w:color="auto"/>
            </w:tcBorders>
            <w:shd w:val="clear" w:color="auto" w:fill="auto"/>
            <w:noWrap/>
            <w:vAlign w:val="center"/>
            <w:hideMark/>
          </w:tcPr>
          <w:p w:rsidR="003500B3" w:rsidRPr="0073382B" w:rsidRDefault="003500B3" w:rsidP="000A4F16">
            <w:pPr>
              <w:keepNext/>
              <w:spacing w:after="0" w:line="240" w:lineRule="auto"/>
              <w:jc w:val="center"/>
              <w:rPr>
                <w:rFonts w:ascii="Calibri" w:eastAsia="Times New Roman" w:hAnsi="Calibri" w:cs="Calibri"/>
                <w:color w:val="000000"/>
                <w:sz w:val="18"/>
                <w:szCs w:val="18"/>
              </w:rPr>
            </w:pPr>
            <w:r w:rsidRPr="0073382B">
              <w:rPr>
                <w:rFonts w:ascii="Calibri" w:eastAsia="Times New Roman" w:hAnsi="Calibri" w:cs="Calibri"/>
                <w:color w:val="000000"/>
                <w:sz w:val="18"/>
                <w:szCs w:val="18"/>
              </w:rPr>
              <w:t>Total</w:t>
            </w:r>
          </w:p>
        </w:tc>
        <w:tc>
          <w:tcPr>
            <w:tcW w:w="869"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2,349</w:t>
            </w:r>
          </w:p>
        </w:tc>
        <w:tc>
          <w:tcPr>
            <w:tcW w:w="98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4,696</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4,579</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4,461</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4,344</w:t>
            </w:r>
          </w:p>
        </w:tc>
        <w:tc>
          <w:tcPr>
            <w:tcW w:w="1000" w:type="dxa"/>
            <w:tcBorders>
              <w:top w:val="nil"/>
              <w:left w:val="nil"/>
              <w:bottom w:val="single" w:sz="4" w:space="0" w:color="auto"/>
              <w:right w:val="single" w:sz="4" w:space="0" w:color="auto"/>
            </w:tcBorders>
            <w:shd w:val="clear" w:color="auto" w:fill="auto"/>
            <w:noWrap/>
            <w:vAlign w:val="center"/>
            <w:hideMark/>
          </w:tcPr>
          <w:p w:rsidR="003500B3" w:rsidRPr="003500B3" w:rsidRDefault="003500B3" w:rsidP="003500B3">
            <w:pPr>
              <w:keepNext/>
              <w:spacing w:after="0" w:line="240" w:lineRule="auto"/>
              <w:jc w:val="center"/>
              <w:rPr>
                <w:rFonts w:ascii="Calibri" w:eastAsia="Times New Roman" w:hAnsi="Calibri" w:cs="Calibri"/>
                <w:color w:val="000000"/>
                <w:sz w:val="18"/>
                <w:szCs w:val="18"/>
              </w:rPr>
            </w:pPr>
            <w:r w:rsidRPr="003500B3">
              <w:rPr>
                <w:rFonts w:ascii="Calibri" w:eastAsia="Times New Roman" w:hAnsi="Calibri" w:cs="Calibri"/>
                <w:color w:val="000000"/>
                <w:sz w:val="18"/>
                <w:szCs w:val="18"/>
              </w:rPr>
              <w:t>4,226</w:t>
            </w:r>
          </w:p>
        </w:tc>
      </w:tr>
      <w:tr w:rsidR="00806233" w:rsidRPr="0073382B" w:rsidTr="00806233">
        <w:trPr>
          <w:trHeight w:val="300"/>
          <w:jc w:val="center"/>
        </w:trPr>
        <w:tc>
          <w:tcPr>
            <w:tcW w:w="235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06233" w:rsidRPr="0073382B" w:rsidRDefault="00690C32" w:rsidP="000A4F16">
            <w:pPr>
              <w:spacing w:after="0" w:line="240" w:lineRule="auto"/>
              <w:jc w:val="center"/>
              <w:rPr>
                <w:rFonts w:ascii="Calibri" w:eastAsia="Times New Roman" w:hAnsi="Calibri" w:cs="Calibri"/>
                <w:color w:val="000000"/>
                <w:sz w:val="18"/>
                <w:szCs w:val="18"/>
              </w:rPr>
            </w:pPr>
            <w:hyperlink r:id="rId24" w:anchor="RANGE!C23" w:history="1">
              <w:r w:rsidR="00806233" w:rsidRPr="0073382B">
                <w:rPr>
                  <w:rFonts w:ascii="Calibri" w:eastAsia="Times New Roman" w:hAnsi="Calibri" w:cs="Calibri"/>
                  <w:color w:val="000000"/>
                  <w:sz w:val="18"/>
                  <w:szCs w:val="18"/>
                </w:rPr>
                <w:t>SDG&amp;E</w:t>
              </w:r>
            </w:hyperlink>
          </w:p>
        </w:tc>
        <w:tc>
          <w:tcPr>
            <w:tcW w:w="869" w:type="dxa"/>
            <w:tcBorders>
              <w:top w:val="nil"/>
              <w:left w:val="nil"/>
              <w:bottom w:val="single" w:sz="4" w:space="0" w:color="auto"/>
              <w:right w:val="single" w:sz="4" w:space="0" w:color="auto"/>
            </w:tcBorders>
            <w:shd w:val="clear" w:color="auto" w:fill="auto"/>
            <w:noWrap/>
            <w:vAlign w:val="center"/>
            <w:hideMark/>
          </w:tcPr>
          <w:p w:rsidR="00806233" w:rsidRPr="0073382B" w:rsidRDefault="0094629C" w:rsidP="00806233">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589</w:t>
            </w:r>
          </w:p>
        </w:tc>
        <w:tc>
          <w:tcPr>
            <w:tcW w:w="980" w:type="dxa"/>
            <w:tcBorders>
              <w:top w:val="nil"/>
              <w:left w:val="nil"/>
              <w:bottom w:val="single" w:sz="4" w:space="0" w:color="auto"/>
              <w:right w:val="single" w:sz="4" w:space="0" w:color="auto"/>
            </w:tcBorders>
            <w:shd w:val="clear" w:color="auto" w:fill="auto"/>
            <w:noWrap/>
            <w:vAlign w:val="center"/>
            <w:hideMark/>
          </w:tcPr>
          <w:p w:rsidR="00806233" w:rsidRPr="003500B3" w:rsidRDefault="0094629C" w:rsidP="00806233">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1</w:t>
            </w:r>
            <w:r w:rsidR="005D3337">
              <w:rPr>
                <w:rFonts w:ascii="Calibri" w:eastAsia="Times New Roman" w:hAnsi="Calibri" w:cs="Calibri"/>
                <w:color w:val="000000"/>
                <w:sz w:val="18"/>
                <w:szCs w:val="18"/>
              </w:rPr>
              <w:t>,</w:t>
            </w:r>
            <w:r w:rsidR="00690C32" w:rsidRPr="00690C32">
              <w:rPr>
                <w:rFonts w:ascii="Calibri" w:eastAsia="Times New Roman" w:hAnsi="Calibri" w:cs="Calibri"/>
                <w:color w:val="000000"/>
                <w:sz w:val="18"/>
                <w:szCs w:val="18"/>
              </w:rPr>
              <w:t>178</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1,149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1,119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94629C">
            <w:pPr>
              <w:keepNext/>
              <w:spacing w:after="0" w:line="240" w:lineRule="auto"/>
              <w:jc w:val="center"/>
              <w:rPr>
                <w:rFonts w:ascii="Calibri" w:eastAsia="Times New Roman" w:hAnsi="Calibri" w:cs="Calibri"/>
                <w:color w:val="000000"/>
                <w:sz w:val="18"/>
                <w:szCs w:val="18"/>
              </w:rPr>
            </w:pPr>
            <w:r w:rsidRPr="0094629C">
              <w:rPr>
                <w:rFonts w:ascii="Calibri" w:eastAsia="Times New Roman" w:hAnsi="Calibri" w:cs="Calibri"/>
                <w:color w:val="000000"/>
                <w:sz w:val="18"/>
                <w:szCs w:val="18"/>
              </w:rPr>
              <w:t xml:space="preserve">1,090 </w:t>
            </w:r>
          </w:p>
        </w:tc>
        <w:tc>
          <w:tcPr>
            <w:tcW w:w="1000" w:type="dxa"/>
            <w:tcBorders>
              <w:top w:val="nil"/>
              <w:left w:val="nil"/>
              <w:bottom w:val="single" w:sz="4" w:space="0" w:color="auto"/>
              <w:right w:val="single" w:sz="4" w:space="0" w:color="auto"/>
            </w:tcBorders>
            <w:shd w:val="clear" w:color="auto" w:fill="auto"/>
            <w:noWrap/>
            <w:vAlign w:val="center"/>
            <w:hideMark/>
          </w:tcPr>
          <w:p w:rsidR="00F73609" w:rsidRDefault="00690C32">
            <w:pPr>
              <w:keepNext/>
              <w:spacing w:after="0" w:line="240" w:lineRule="auto"/>
              <w:jc w:val="center"/>
              <w:rPr>
                <w:rFonts w:ascii="Calibri" w:eastAsia="Times New Roman" w:hAnsi="Calibri" w:cs="Calibri"/>
                <w:color w:val="000000"/>
                <w:sz w:val="18"/>
                <w:szCs w:val="18"/>
              </w:rPr>
            </w:pPr>
            <w:r w:rsidRPr="00690C32">
              <w:rPr>
                <w:rFonts w:ascii="Calibri" w:eastAsia="Times New Roman" w:hAnsi="Calibri" w:cs="Calibri"/>
                <w:color w:val="000000"/>
                <w:sz w:val="18"/>
                <w:szCs w:val="18"/>
              </w:rPr>
              <w:t xml:space="preserve">1,060 </w:t>
            </w:r>
          </w:p>
        </w:tc>
      </w:tr>
    </w:tbl>
    <w:p w:rsidR="00132976" w:rsidRDefault="0040261D" w:rsidP="0040261D">
      <w:pPr>
        <w:pStyle w:val="BodyParaAfterTableFigure"/>
      </w:pPr>
      <w:r>
        <w:t>Our only major recommendation for the future of the program is to implement a clear and detailed set of EM&amp;V rules to ensure that the utilities know how much load drop they have received and can expect to receive</w:t>
      </w:r>
      <w:r w:rsidR="00A72B35">
        <w:t xml:space="preserve"> in the future</w:t>
      </w:r>
      <w:r>
        <w:t>.</w:t>
      </w:r>
    </w:p>
    <w:p w:rsidR="00000000" w:rsidRDefault="00CB691C">
      <w:pPr>
        <w:pStyle w:val="BodyParagraph"/>
      </w:pPr>
    </w:p>
    <w:p w:rsidR="00000000" w:rsidRDefault="00CB691C">
      <w:pPr>
        <w:pStyle w:val="BodyParagraph"/>
      </w:pPr>
    </w:p>
    <w:p w:rsidR="00000000" w:rsidRDefault="00CB691C">
      <w:pPr>
        <w:pStyle w:val="BodyParagraph"/>
      </w:pPr>
    </w:p>
    <w:sectPr w:rsidR="00000000" w:rsidSect="00D660A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54F0" w:rsidRDefault="00BB54F0" w:rsidP="00DB35F9">
      <w:pPr>
        <w:spacing w:after="0" w:line="240" w:lineRule="auto"/>
      </w:pPr>
      <w:r>
        <w:separator/>
      </w:r>
    </w:p>
  </w:endnote>
  <w:endnote w:type="continuationSeparator" w:id="0">
    <w:p w:rsidR="00BB54F0" w:rsidRDefault="00BB54F0" w:rsidP="00DB35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altName w:val="Corbel"/>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TitilliumText22L Rg">
    <w:altName w:val="Arial"/>
    <w:panose1 w:val="00000000000000000000"/>
    <w:charset w:val="00"/>
    <w:family w:val="modern"/>
    <w:notTrueType/>
    <w:pitch w:val="variable"/>
    <w:sig w:usb0="00000001" w:usb1="0000004B" w:usb2="00000000" w:usb3="00000000" w:csb0="00000193" w:csb1="00000000"/>
  </w:font>
  <w:font w:name="TitilliumText22L Xb">
    <w:altName w:val="Arial"/>
    <w:panose1 w:val="00000000000000000000"/>
    <w:charset w:val="00"/>
    <w:family w:val="modern"/>
    <w:notTrueType/>
    <w:pitch w:val="variable"/>
    <w:sig w:usb0="00000001" w:usb1="0000004B" w:usb2="00000000" w:usb3="00000000" w:csb0="000001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Default="00BB54F0" w:rsidP="002C5BF9">
    <w:pPr>
      <w:pStyle w:val="Footer"/>
      <w:jc w:val="right"/>
      <w:rPr>
        <w:rFonts w:ascii="TitilliumText22L Xb" w:eastAsiaTheme="minorHAnsi" w:hAnsi="TitilliumText22L Xb" w:cstheme="minorBidi"/>
        <w:szCs w:val="22"/>
      </w:rPr>
    </w:pPr>
    <w:r>
      <w:rPr>
        <w:rFonts w:ascii="TitilliumText22L Xb" w:hAnsi="TitilliumText22L Xb"/>
        <w:noProof/>
      </w:rPr>
      <w:drawing>
        <wp:anchor distT="0" distB="0" distL="114300" distR="114300" simplePos="0" relativeHeight="251662336" behindDoc="0" locked="0" layoutInCell="1" allowOverlap="1">
          <wp:simplePos x="0" y="0"/>
          <wp:positionH relativeFrom="column">
            <wp:posOffset>-135496</wp:posOffset>
          </wp:positionH>
          <wp:positionV relativeFrom="paragraph">
            <wp:posOffset>-118682</wp:posOffset>
          </wp:positionV>
          <wp:extent cx="2080206" cy="425002"/>
          <wp:effectExtent l="19050" t="0" r="0" b="0"/>
          <wp:wrapNone/>
          <wp:docPr id="3"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80206" cy="425002"/>
                  </a:xfrm>
                  <a:prstGeom prst="rect">
                    <a:avLst/>
                  </a:prstGeom>
                  <a:noFill/>
                </pic:spPr>
              </pic:pic>
            </a:graphicData>
          </a:graphic>
        </wp:anchor>
      </w:drawing>
    </w:r>
    <w:sdt>
      <w:sdtPr>
        <w:rPr>
          <w:rFonts w:ascii="TitilliumText22L Xb" w:hAnsi="TitilliumText22L Xb"/>
        </w:rPr>
        <w:id w:val="18682042"/>
        <w:docPartObj>
          <w:docPartGallery w:val="Page Numbers (Bottom of Page)"/>
          <w:docPartUnique/>
        </w:docPartObj>
      </w:sdtPr>
      <w:sdtContent>
        <w:r w:rsidR="00690C32"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00690C32" w:rsidRPr="00344C3B">
          <w:rPr>
            <w:rFonts w:ascii="Arial Black" w:hAnsi="Arial Black"/>
            <w:color w:val="808080" w:themeColor="background1" w:themeShade="80"/>
          </w:rPr>
          <w:fldChar w:fldCharType="separate"/>
        </w:r>
        <w:r>
          <w:rPr>
            <w:rFonts w:ascii="Arial Black" w:hAnsi="Arial Black"/>
            <w:noProof/>
            <w:color w:val="808080" w:themeColor="background1" w:themeShade="80"/>
          </w:rPr>
          <w:t>6</w:t>
        </w:r>
        <w:r w:rsidR="00690C32" w:rsidRPr="00344C3B">
          <w:rPr>
            <w:rFonts w:ascii="Arial Black" w:hAnsi="Arial Black"/>
            <w:color w:val="808080" w:themeColor="background1" w:themeShade="80"/>
          </w:rPr>
          <w:fldChar w:fldCharType="end"/>
        </w:r>
      </w:sdtContent>
    </w:sdt>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0318"/>
      <w:docPartObj>
        <w:docPartGallery w:val="Page Numbers (Bottom of Page)"/>
        <w:docPartUnique/>
      </w:docPartObj>
    </w:sdtPr>
    <w:sdtContent>
      <w:p w:rsidR="00BB54F0" w:rsidRDefault="00690C32" w:rsidP="00DB35F9">
        <w:pPr>
          <w:pStyle w:val="Footer"/>
          <w:jc w:val="right"/>
        </w:pPr>
      </w:p>
    </w:sdtContent>
  </w:sdt>
  <w:p w:rsidR="00BB54F0" w:rsidRDefault="00BB54F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Pr="00321715" w:rsidRDefault="00BB54F0" w:rsidP="00B50663">
    <w:pPr>
      <w:pStyle w:val="Footer"/>
      <w:jc w:val="right"/>
      <w:rPr>
        <w:sz w:val="20"/>
        <w:szCs w:val="20"/>
      </w:rPr>
    </w:pPr>
  </w:p>
  <w:p w:rsidR="00BB54F0" w:rsidRDefault="00BB54F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5927780"/>
      <w:docPartObj>
        <w:docPartGallery w:val="Page Numbers (Bottom of Page)"/>
        <w:docPartUnique/>
      </w:docPartObj>
    </w:sdtPr>
    <w:sdtContent>
      <w:p w:rsidR="00BB54F0" w:rsidRDefault="00690C32">
        <w:pPr>
          <w:pStyle w:val="Footer"/>
          <w:jc w:val="right"/>
        </w:pPr>
        <w:r>
          <w:fldChar w:fldCharType="begin"/>
        </w:r>
        <w:r w:rsidR="00BB54F0">
          <w:instrText xml:space="preserve"> PAGE   \* MERGEFORMAT </w:instrText>
        </w:r>
        <w:r>
          <w:fldChar w:fldCharType="separate"/>
        </w:r>
        <w:r w:rsidR="00CB691C">
          <w:rPr>
            <w:noProof/>
          </w:rPr>
          <w:t>i</w:t>
        </w:r>
        <w:r>
          <w:fldChar w:fldCharType="end"/>
        </w:r>
      </w:p>
    </w:sdtContent>
  </w:sdt>
  <w:p w:rsidR="00BB54F0" w:rsidRPr="0036226B" w:rsidRDefault="00BB54F0" w:rsidP="00DB35F9">
    <w:pPr>
      <w:pStyle w:val="Footer"/>
      <w:jc w:val="right"/>
      <w:rPr>
        <w:rFonts w:ascii="TitilliumText22L Xb" w:hAnsi="TitilliumText22L Xb"/>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Pr="00321715" w:rsidRDefault="00690C32" w:rsidP="00B50663">
    <w:pPr>
      <w:pStyle w:val="Footer"/>
      <w:jc w:val="right"/>
      <w:rPr>
        <w:sz w:val="20"/>
        <w:szCs w:val="20"/>
      </w:rPr>
    </w:pPr>
    <w:r w:rsidRPr="009D111C">
      <w:rPr>
        <w:rStyle w:val="PageNumber"/>
        <w:sz w:val="20"/>
        <w:szCs w:val="20"/>
      </w:rPr>
      <w:fldChar w:fldCharType="begin"/>
    </w:r>
    <w:r w:rsidR="00BB54F0" w:rsidRPr="009D111C">
      <w:rPr>
        <w:rStyle w:val="PageNumber"/>
        <w:sz w:val="20"/>
        <w:szCs w:val="20"/>
      </w:rPr>
      <w:instrText xml:space="preserve">PAGE  </w:instrText>
    </w:r>
    <w:r w:rsidRPr="009D111C">
      <w:rPr>
        <w:rStyle w:val="PageNumber"/>
        <w:sz w:val="20"/>
        <w:szCs w:val="20"/>
      </w:rPr>
      <w:fldChar w:fldCharType="separate"/>
    </w:r>
    <w:r w:rsidR="00BB54F0">
      <w:rPr>
        <w:rStyle w:val="PageNumber"/>
        <w:noProof/>
        <w:sz w:val="20"/>
        <w:szCs w:val="20"/>
      </w:rPr>
      <w:t>58</w:t>
    </w:r>
    <w:r w:rsidRPr="009D111C">
      <w:rPr>
        <w:rStyle w:val="PageNumber"/>
        <w:sz w:val="20"/>
        <w:szCs w:val="20"/>
      </w:rPr>
      <w:fldChar w:fldCharType="end"/>
    </w:r>
  </w:p>
  <w:p w:rsidR="00BB54F0" w:rsidRDefault="00BB54F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54F0" w:rsidRDefault="00BB54F0" w:rsidP="00DB35F9">
      <w:pPr>
        <w:spacing w:after="0" w:line="240" w:lineRule="auto"/>
      </w:pPr>
      <w:r>
        <w:separator/>
      </w:r>
    </w:p>
  </w:footnote>
  <w:footnote w:type="continuationSeparator" w:id="0">
    <w:p w:rsidR="00BB54F0" w:rsidRDefault="00BB54F0" w:rsidP="00DB35F9">
      <w:pPr>
        <w:spacing w:after="0" w:line="240" w:lineRule="auto"/>
      </w:pPr>
      <w:r>
        <w:continuationSeparator/>
      </w:r>
    </w:p>
  </w:footnote>
  <w:footnote w:id="1">
    <w:p w:rsidR="00BB54F0" w:rsidRDefault="00BB54F0">
      <w:pPr>
        <w:pStyle w:val="FootnoteText"/>
      </w:pPr>
      <w:r>
        <w:rPr>
          <w:rStyle w:val="FootnoteReference"/>
        </w:rPr>
        <w:footnoteRef/>
      </w:r>
      <w:r>
        <w:t xml:space="preserve"> Direct access and Community Choice Aggregation customers are also eligible.</w:t>
      </w:r>
    </w:p>
  </w:footnote>
  <w:footnote w:id="2">
    <w:p w:rsidR="00BB54F0" w:rsidRDefault="00BB54F0" w:rsidP="00FB4A3C">
      <w:pPr>
        <w:pStyle w:val="FootnoteText"/>
      </w:pPr>
      <w:r>
        <w:rPr>
          <w:rStyle w:val="FootnoteReference"/>
        </w:rPr>
        <w:footnoteRef/>
      </w:r>
      <w:r>
        <w:t xml:space="preserve"> </w:t>
      </w:r>
      <w:r w:rsidRPr="00917143">
        <w:t>On January 14, 2013, SCE filed with the Commission a joint advice letter</w:t>
      </w:r>
      <w:r>
        <w:t xml:space="preserve"> (Advice 2837-E et al.) on behalf of the Utilities submitting updated Permanent Load </w:t>
      </w:r>
      <w:r w:rsidRPr="00917143">
        <w:t>Shifting (PLS) Program Design Proposal, program budget details and revised cost-effectiveness</w:t>
      </w:r>
      <w:r>
        <w:t xml:space="preserve"> analysis (In compliance with D.</w:t>
      </w:r>
      <w:r w:rsidRPr="00917143">
        <w:t>12-0</w:t>
      </w:r>
      <w:r>
        <w:t>4-045).</w:t>
      </w:r>
    </w:p>
  </w:footnote>
  <w:footnote w:id="3">
    <w:p w:rsidR="00BB54F0" w:rsidRPr="00665A55" w:rsidRDefault="00BB54F0" w:rsidP="00FB4A3C">
      <w:pPr>
        <w:pStyle w:val="Footnote"/>
      </w:pPr>
      <w:r w:rsidRPr="00665A55">
        <w:rPr>
          <w:rStyle w:val="FootnoteReference"/>
        </w:rPr>
        <w:footnoteRef/>
      </w:r>
      <w:r w:rsidRPr="00665A55">
        <w:t xml:space="preserve"> </w:t>
      </w:r>
      <w:r w:rsidRPr="00665A55">
        <w:rPr>
          <w:szCs w:val="18"/>
        </w:rPr>
        <w:t>CPUC D.08-04-050 issued on April 28, 2008 with Attachment A.</w:t>
      </w:r>
    </w:p>
  </w:footnote>
  <w:footnote w:id="4">
    <w:p w:rsidR="00BB54F0" w:rsidRDefault="00BB54F0">
      <w:pPr>
        <w:pStyle w:val="FootnoteText"/>
      </w:pPr>
      <w:r>
        <w:rPr>
          <w:rStyle w:val="FootnoteReference"/>
        </w:rPr>
        <w:footnoteRef/>
      </w:r>
      <w:r>
        <w:t xml:space="preserve"> Much of the information in this program overview is taken from the 2012-2014 Statewide Permanent Load Shifting Program </w:t>
      </w:r>
      <w:proofErr w:type="gramStart"/>
      <w:r>
        <w:t>Proposal</w:t>
      </w:r>
      <w:proofErr w:type="gramEnd"/>
      <w:r>
        <w:t>, issued jointly by the three utilities on January 14, 2013.</w:t>
      </w:r>
    </w:p>
  </w:footnote>
  <w:footnote w:id="5">
    <w:p w:rsidR="00BB54F0" w:rsidRDefault="00BB54F0">
      <w:pPr>
        <w:pStyle w:val="FootnoteText"/>
      </w:pPr>
      <w:r>
        <w:rPr>
          <w:rStyle w:val="FootnoteReference"/>
        </w:rPr>
        <w:footnoteRef/>
      </w:r>
      <w:r>
        <w:t xml:space="preserve"> As listed in the PLS Program Proposal.</w:t>
      </w:r>
    </w:p>
  </w:footnote>
  <w:footnote w:id="6">
    <w:p w:rsidR="00BB54F0" w:rsidRDefault="00BB54F0">
      <w:pPr>
        <w:pStyle w:val="FootnoteText"/>
      </w:pPr>
      <w:r>
        <w:rPr>
          <w:rStyle w:val="FootnoteReference"/>
        </w:rPr>
        <w:footnoteRef/>
      </w:r>
      <w:r>
        <w:t xml:space="preserve"> Note that these “expected values” are not expected values in a statistical sense.  They are literally just what utility staff expressed as reasonable expectations.  The uncertainty expressed in the high and low values are also just opinions, not statistical measurements.</w:t>
      </w:r>
    </w:p>
  </w:footnote>
  <w:footnote w:id="7">
    <w:p w:rsidR="00BB54F0" w:rsidRDefault="00BB54F0">
      <w:pPr>
        <w:pStyle w:val="FootnoteText"/>
      </w:pPr>
      <w:r>
        <w:rPr>
          <w:rStyle w:val="FootnoteReference"/>
        </w:rPr>
        <w:footnoteRef/>
      </w:r>
      <w:r>
        <w:t xml:space="preserve"> These conditions are provided by each utility and are meant to represent peak conditions in a given month and average conditions in a given month.  The conditions are classified as 1-in-2 or 1-in-10 which indicates whether conditions are likely to be that extreme about half the time or about 10% of the time.</w:t>
      </w:r>
    </w:p>
  </w:footnote>
  <w:footnote w:id="8">
    <w:p w:rsidR="00BB54F0" w:rsidRDefault="00BB54F0" w:rsidP="00165FF6">
      <w:pPr>
        <w:pStyle w:val="FootnoteText"/>
      </w:pPr>
      <w:r>
        <w:rPr>
          <w:rStyle w:val="FootnoteReference"/>
        </w:rPr>
        <w:footnoteRef/>
      </w:r>
      <w:r>
        <w:t xml:space="preserve"> ASHRAE® Handbook Online: 2009 Fundamentals.</w:t>
      </w:r>
    </w:p>
  </w:footnote>
  <w:footnote w:id="9">
    <w:p w:rsidR="00BB54F0" w:rsidRDefault="00BB54F0">
      <w:pPr>
        <w:pStyle w:val="FootnoteText"/>
      </w:pPr>
      <w:r>
        <w:rPr>
          <w:rStyle w:val="FootnoteReference"/>
        </w:rPr>
        <w:footnoteRef/>
      </w:r>
      <w:r>
        <w:t xml:space="preserve"> Because ASHRAE does not specify 24-hours of temperatures, we take the ASHRAE entry as the average temperature from 1-6 PM on the peak day.  The hourly temperatures are then calculated as the ratio of ASHRAE 2% temperature to August 1-in-10 average temperature from 1-6 PM times each hour’s August 1-in-10 temperature.  For example, if the ASHRAE 2% condition is a temperature of 100°F and the August 1-in-10 conditions have average temperature from 1-6 PM of 102°F, then the ASHRAE 2% conditions inputted into the DRQAT would have temperatures equal to the August 1-in-10 conditions multiplied by 100/102 for each hour.</w:t>
      </w:r>
    </w:p>
  </w:footnote>
  <w:footnote w:id="10">
    <w:p w:rsidR="00BB54F0" w:rsidRDefault="00BB54F0">
      <w:pPr>
        <w:pStyle w:val="FootnoteText"/>
      </w:pPr>
      <w:r>
        <w:rPr>
          <w:rStyle w:val="FootnoteReference"/>
        </w:rPr>
        <w:footnoteRef/>
      </w:r>
      <w:r>
        <w:t xml:space="preserve"> SDG&amp;E’s peak hours are from 11 AM – 6 PM instead of 12 – 6 PM.</w:t>
      </w:r>
    </w:p>
  </w:footnote>
  <w:footnote w:id="11">
    <w:p w:rsidR="00BB54F0" w:rsidRDefault="00BB54F0" w:rsidP="00165FF6">
      <w:pPr>
        <w:pStyle w:val="FootnoteText"/>
      </w:pPr>
      <w:r>
        <w:rPr>
          <w:rStyle w:val="FootnoteReference"/>
        </w:rPr>
        <w:footnoteRef/>
      </w:r>
      <w:r>
        <w:t xml:space="preserve"> SDG&amp;E’s peak hours are from 11 AM – 6 PM instead of 12 – 6 PM.</w:t>
      </w:r>
    </w:p>
  </w:footnote>
  <w:footnote w:id="12">
    <w:p w:rsidR="00BB54F0" w:rsidRDefault="00BB54F0">
      <w:pPr>
        <w:pStyle w:val="FootnoteText"/>
      </w:pPr>
      <w:r>
        <w:rPr>
          <w:rStyle w:val="FootnoteReference"/>
        </w:rPr>
        <w:footnoteRef/>
      </w:r>
      <w:r>
        <w:t xml:space="preserve"> The actual assumed trajectory is for a constant amount of absolute shifting capacity loss each year after the fifth year, such that the expected total life is 20 years and the maximum total life is 35 years.  If the program becomes a major part of the energy savings portfolio, then more nuanced assumptions for shift capacity degradation will be in order.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Default="00690C32">
    <w:pPr>
      <w:pStyle w:val="Header"/>
    </w:pPr>
    <w:r>
      <w:rPr>
        <w:noProof/>
      </w:rPr>
    </w:r>
    <w:r>
      <w:rPr>
        <w:noProof/>
      </w:rPr>
      <w:pict>
        <v:shapetype id="_x0000_t32" coordsize="21600,21600" o:spt="32" o:oned="t" path="m,l21600,21600e" filled="f">
          <v:path arrowok="t" fillok="f" o:connecttype="none"/>
          <o:lock v:ext="edit" shapetype="t"/>
        </v:shapetype>
        <v:shape id="AutoShape 2" o:spid="_x0000_s614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NJI8O04AgAAdgQAAA4AAAAAAAAAAAAAAAAALgIA&#10;AGRycy9lMm9Eb2MueG1sUEsBAi0AFAAGAAgAAAAhAISJXbfWAAAAAgEAAA8AAAAAAAAAAAAAAAAA&#10;kgQAAGRycy9kb3ducmV2LnhtbFBLBQYAAAAABAAEAPMAAACVBQAAAAA=&#10;" strokecolor="#5f497a [2407]">
          <w10:anchorlock/>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Default="00BB54F0" w:rsidP="00DB35F9">
    <w:pPr>
      <w:pStyle w:val="Header"/>
      <w:tabs>
        <w:tab w:val="left" w:pos="360"/>
        <w:tab w:val="left" w:pos="8910"/>
        <w:tab w:val="left" w:pos="9000"/>
      </w:tabs>
    </w:pPr>
    <w:r w:rsidRPr="00EB2941">
      <w:rPr>
        <w:noProof/>
      </w:rPr>
      <w:drawing>
        <wp:inline distT="0" distB="0" distL="0" distR="0">
          <wp:extent cx="4274185" cy="690880"/>
          <wp:effectExtent l="19050" t="0" r="0" b="0"/>
          <wp:docPr id="8"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1" cstate="print"/>
                  <a:srcRect t="21506"/>
                  <a:stretch>
                    <a:fillRect/>
                  </a:stretch>
                </pic:blipFill>
                <pic:spPr bwMode="auto">
                  <a:xfrm>
                    <a:off x="0" y="0"/>
                    <a:ext cx="4274185" cy="690880"/>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Default="00690C32"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1" o:spid="_x0000_s6145"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F+62zg4AgAAdQQAAA4AAAAAAAAAAAAAAAAALgIA&#10;AGRycy9lMm9Eb2MueG1sUEsBAi0AFAAGAAgAAAAhAISJXbfWAAAAAgEAAA8AAAAAAAAAAAAAAAAA&#10;kgQAAGRycy9kb3ducmV2LnhtbFBLBQYAAAAABAAEAPMAAACVBQAAAAA=&#10;" strokecolor="#5f497a [2407]">
          <w10:wrap type="none"/>
          <w10:anchorlock/>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F0" w:rsidRDefault="00BB54F0" w:rsidP="00B50663">
    <w:pPr>
      <w:pStyle w:val="Header"/>
      <w:jc w:val="center"/>
    </w:pPr>
    <w:r w:rsidRPr="00E92F4E">
      <w:rPr>
        <w:noProof/>
      </w:rPr>
      <w:drawing>
        <wp:inline distT="0" distB="0" distL="0" distR="0">
          <wp:extent cx="2243455" cy="999490"/>
          <wp:effectExtent l="19050" t="0" r="444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243455" cy="99949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F5674"/>
    <w:multiLevelType w:val="hybridMultilevel"/>
    <w:tmpl w:val="652A9A1E"/>
    <w:lvl w:ilvl="0" w:tplc="F5241B0E">
      <w:start w:val="6"/>
      <w:numFmt w:val="decimal"/>
      <w:pStyle w:val="NumbersLa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6A593E"/>
    <w:multiLevelType w:val="hybridMultilevel"/>
    <w:tmpl w:val="BF0CB3C6"/>
    <w:lvl w:ilvl="0" w:tplc="4A6091AE">
      <w:start w:val="1"/>
      <w:numFmt w:val="bullet"/>
      <w:pStyle w:val="Bullets"/>
      <w:lvlText w:val=""/>
      <w:lvlJc w:val="left"/>
      <w:pPr>
        <w:tabs>
          <w:tab w:val="num" w:pos="720"/>
        </w:tabs>
        <w:ind w:left="720" w:hanging="360"/>
      </w:pPr>
      <w:rPr>
        <w:rFonts w:ascii="Wingdings" w:hAnsi="Wingding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A7561E2"/>
    <w:multiLevelType w:val="hybridMultilevel"/>
    <w:tmpl w:val="6F6C1304"/>
    <w:lvl w:ilvl="0" w:tplc="FB1E35EA">
      <w:start w:val="1"/>
      <w:numFmt w:val="decimal"/>
      <w:pStyle w:val="Number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0E263D"/>
    <w:multiLevelType w:val="multilevel"/>
    <w:tmpl w:val="E6A26B6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27466AB5"/>
    <w:multiLevelType w:val="multilevel"/>
    <w:tmpl w:val="6B2CD62E"/>
    <w:styleLink w:val="NumberedSteps"/>
    <w:lvl w:ilvl="0">
      <w:start w:val="1"/>
      <w:numFmt w:val="decimal"/>
      <w:lvlText w:val="%1"/>
      <w:lvlJc w:val="left"/>
      <w:pPr>
        <w:tabs>
          <w:tab w:val="num" w:pos="720"/>
        </w:tabs>
        <w:ind w:left="720" w:hanging="360"/>
      </w:pPr>
      <w:rPr>
        <w:rFonts w:ascii="Arial" w:hAnsi="Arial"/>
        <w:dstrike w:val="0"/>
        <w:color w:val="auto"/>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3D2A23E0"/>
    <w:multiLevelType w:val="hybridMultilevel"/>
    <w:tmpl w:val="0DDACC2E"/>
    <w:lvl w:ilvl="0" w:tplc="0409000F">
      <w:start w:val="1"/>
      <w:numFmt w:val="decimal"/>
      <w:lvlText w:val="%1."/>
      <w:lvlJc w:val="left"/>
      <w:pPr>
        <w:tabs>
          <w:tab w:val="num" w:pos="720"/>
        </w:tabs>
        <w:ind w:left="720" w:hanging="360"/>
      </w:pPr>
      <w:rPr>
        <w:rFont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64497E68"/>
    <w:multiLevelType w:val="multilevel"/>
    <w:tmpl w:val="31BA2902"/>
    <w:lvl w:ilvl="0">
      <w:start w:val="1"/>
      <w:numFmt w:val="upperLetter"/>
      <w:pStyle w:val="AppendixHeading"/>
      <w:lvlText w:val="Appendix %1"/>
      <w:lvlJc w:val="left"/>
      <w:pPr>
        <w:ind w:left="360" w:hanging="360"/>
      </w:pPr>
      <w:rPr>
        <w:rFonts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1">
      <w:start w:val="1"/>
      <w:numFmt w:val="decimal"/>
      <w:pStyle w:val="AppendixHeading2"/>
      <w:lvlText w:val="%1.%2"/>
      <w:lvlJc w:val="left"/>
      <w:pPr>
        <w:ind w:left="882" w:hanging="432"/>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2">
      <w:start w:val="1"/>
      <w:numFmt w:val="decimal"/>
      <w:pStyle w:val="AppendixHeading3"/>
      <w:lvlText w:val="%1.%2.%3"/>
      <w:lvlJc w:val="left"/>
      <w:pPr>
        <w:ind w:left="1494" w:hanging="504"/>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 w:val="26"/>
        <w:szCs w:val="26"/>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6D0F2EE8"/>
    <w:multiLevelType w:val="multilevel"/>
    <w:tmpl w:val="9F68006A"/>
    <w:styleLink w:val="Numbered"/>
    <w:lvl w:ilvl="0">
      <w:start w:val="1"/>
      <w:numFmt w:val="decimal"/>
      <w:lvlText w:val="%1"/>
      <w:lvlJc w:val="left"/>
      <w:pPr>
        <w:tabs>
          <w:tab w:val="num" w:pos="720"/>
        </w:tabs>
        <w:ind w:left="720" w:hanging="360"/>
      </w:pPr>
      <w:rPr>
        <w:rFonts w:ascii="Arial" w:hAnsi="Arial"/>
        <w:dstrike w:val="0"/>
        <w:color w:val="000000" w:themeColor="text1"/>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6"/>
  </w:num>
  <w:num w:numId="3">
    <w:abstractNumId w:val="3"/>
  </w:num>
  <w:num w:numId="4">
    <w:abstractNumId w:val="7"/>
  </w:num>
  <w:num w:numId="5">
    <w:abstractNumId w:val="4"/>
  </w:num>
  <w:num w:numId="6">
    <w:abstractNumId w:val="2"/>
  </w:num>
  <w:num w:numId="7">
    <w:abstractNumId w:val="0"/>
  </w:num>
  <w:num w:numId="8">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1021"/>
  <w:stylePaneSortMethod w:val="0000"/>
  <w:defaultTabStop w:val="720"/>
  <w:drawingGridHorizontalSpacing w:val="110"/>
  <w:displayHorizontalDrawingGridEvery w:val="2"/>
  <w:characterSpacingControl w:val="doNotCompress"/>
  <w:hdrShapeDefaults>
    <o:shapedefaults v:ext="edit" spidmax="6147" fillcolor="none [3207]" strokecolor="none [3041]">
      <v:fill color="none [3207]"/>
      <v:stroke color="none [3041]" weight="3pt"/>
      <v:shadow on="t" type="perspective" color="none [1607]" opacity=".5" offset="1pt" offset2="-1pt"/>
    </o:shapedefaults>
    <o:shapelayout v:ext="edit">
      <o:idmap v:ext="edit" data="6"/>
      <o:rules v:ext="edit">
        <o:r id="V:Rule3" type="connector" idref="#AutoShape 2"/>
        <o:r id="V:Rule4" type="connector" idref="#AutoShape 1"/>
      </o:rules>
    </o:shapelayout>
  </w:hdrShapeDefaults>
  <w:footnotePr>
    <w:footnote w:id="-1"/>
    <w:footnote w:id="0"/>
  </w:footnotePr>
  <w:endnotePr>
    <w:endnote w:id="-1"/>
    <w:endnote w:id="0"/>
  </w:endnotePr>
  <w:compat>
    <w:useFELayout/>
  </w:compat>
  <w:rsids>
    <w:rsidRoot w:val="00B5554C"/>
    <w:rsid w:val="00007438"/>
    <w:rsid w:val="00013AC5"/>
    <w:rsid w:val="00014793"/>
    <w:rsid w:val="00014A86"/>
    <w:rsid w:val="000156AA"/>
    <w:rsid w:val="00020BC6"/>
    <w:rsid w:val="00020D57"/>
    <w:rsid w:val="000401C0"/>
    <w:rsid w:val="000420B3"/>
    <w:rsid w:val="00043E53"/>
    <w:rsid w:val="000501DB"/>
    <w:rsid w:val="0005127F"/>
    <w:rsid w:val="00054B1F"/>
    <w:rsid w:val="0005598B"/>
    <w:rsid w:val="0006172C"/>
    <w:rsid w:val="0007299B"/>
    <w:rsid w:val="00077381"/>
    <w:rsid w:val="000853ED"/>
    <w:rsid w:val="000910E6"/>
    <w:rsid w:val="000A4F16"/>
    <w:rsid w:val="000B4C13"/>
    <w:rsid w:val="000C5046"/>
    <w:rsid w:val="000C5DC4"/>
    <w:rsid w:val="000F2A19"/>
    <w:rsid w:val="000F583F"/>
    <w:rsid w:val="000F660F"/>
    <w:rsid w:val="00103A8A"/>
    <w:rsid w:val="001070E1"/>
    <w:rsid w:val="00107177"/>
    <w:rsid w:val="001109C6"/>
    <w:rsid w:val="00112F77"/>
    <w:rsid w:val="00116667"/>
    <w:rsid w:val="0011699B"/>
    <w:rsid w:val="001319C0"/>
    <w:rsid w:val="00132976"/>
    <w:rsid w:val="00134D4B"/>
    <w:rsid w:val="00137F86"/>
    <w:rsid w:val="00142ACF"/>
    <w:rsid w:val="00152431"/>
    <w:rsid w:val="001550B7"/>
    <w:rsid w:val="00156309"/>
    <w:rsid w:val="00157BFA"/>
    <w:rsid w:val="00161592"/>
    <w:rsid w:val="00162887"/>
    <w:rsid w:val="00163508"/>
    <w:rsid w:val="00165FF6"/>
    <w:rsid w:val="001671FE"/>
    <w:rsid w:val="00182B89"/>
    <w:rsid w:val="001917AF"/>
    <w:rsid w:val="00192CF8"/>
    <w:rsid w:val="001930A9"/>
    <w:rsid w:val="001A71A9"/>
    <w:rsid w:val="001B0ACB"/>
    <w:rsid w:val="001B1054"/>
    <w:rsid w:val="001B2D2C"/>
    <w:rsid w:val="001B352B"/>
    <w:rsid w:val="001B43DF"/>
    <w:rsid w:val="001B554F"/>
    <w:rsid w:val="001C1F7B"/>
    <w:rsid w:val="001C35AF"/>
    <w:rsid w:val="001C561B"/>
    <w:rsid w:val="001D11FD"/>
    <w:rsid w:val="001E2F67"/>
    <w:rsid w:val="001E35A3"/>
    <w:rsid w:val="001E4F10"/>
    <w:rsid w:val="001E7B77"/>
    <w:rsid w:val="001F3B22"/>
    <w:rsid w:val="002077EA"/>
    <w:rsid w:val="0021276A"/>
    <w:rsid w:val="002127F7"/>
    <w:rsid w:val="00213694"/>
    <w:rsid w:val="00232F80"/>
    <w:rsid w:val="00234AA5"/>
    <w:rsid w:val="002436C1"/>
    <w:rsid w:val="00252FAF"/>
    <w:rsid w:val="0026038D"/>
    <w:rsid w:val="002625F2"/>
    <w:rsid w:val="002705DE"/>
    <w:rsid w:val="00272C6A"/>
    <w:rsid w:val="002767CA"/>
    <w:rsid w:val="002842C9"/>
    <w:rsid w:val="0028548F"/>
    <w:rsid w:val="00291190"/>
    <w:rsid w:val="00294476"/>
    <w:rsid w:val="00295FB5"/>
    <w:rsid w:val="002974AE"/>
    <w:rsid w:val="002A080E"/>
    <w:rsid w:val="002A2748"/>
    <w:rsid w:val="002A27FC"/>
    <w:rsid w:val="002A4068"/>
    <w:rsid w:val="002A4087"/>
    <w:rsid w:val="002A457A"/>
    <w:rsid w:val="002A6B02"/>
    <w:rsid w:val="002C1723"/>
    <w:rsid w:val="002C5BF9"/>
    <w:rsid w:val="002D28D8"/>
    <w:rsid w:val="002D6001"/>
    <w:rsid w:val="002E0B98"/>
    <w:rsid w:val="002E5178"/>
    <w:rsid w:val="002F1DEF"/>
    <w:rsid w:val="002F287A"/>
    <w:rsid w:val="00303670"/>
    <w:rsid w:val="003036D9"/>
    <w:rsid w:val="00305437"/>
    <w:rsid w:val="0030619E"/>
    <w:rsid w:val="003076DE"/>
    <w:rsid w:val="00313B12"/>
    <w:rsid w:val="00314B85"/>
    <w:rsid w:val="00324647"/>
    <w:rsid w:val="003315FF"/>
    <w:rsid w:val="00333BD7"/>
    <w:rsid w:val="00334712"/>
    <w:rsid w:val="00344C3B"/>
    <w:rsid w:val="00347831"/>
    <w:rsid w:val="003500B3"/>
    <w:rsid w:val="00350683"/>
    <w:rsid w:val="00350DF9"/>
    <w:rsid w:val="00356430"/>
    <w:rsid w:val="00360C31"/>
    <w:rsid w:val="0036226B"/>
    <w:rsid w:val="00365361"/>
    <w:rsid w:val="00367BA0"/>
    <w:rsid w:val="0037446D"/>
    <w:rsid w:val="00385706"/>
    <w:rsid w:val="00387B04"/>
    <w:rsid w:val="00393B5B"/>
    <w:rsid w:val="003A0F85"/>
    <w:rsid w:val="003A1142"/>
    <w:rsid w:val="003A4BA1"/>
    <w:rsid w:val="003A59C0"/>
    <w:rsid w:val="003A67D1"/>
    <w:rsid w:val="003A6EA0"/>
    <w:rsid w:val="003B2049"/>
    <w:rsid w:val="003B47CB"/>
    <w:rsid w:val="003C603E"/>
    <w:rsid w:val="003C7EAF"/>
    <w:rsid w:val="003D11D5"/>
    <w:rsid w:val="003D68A0"/>
    <w:rsid w:val="003E43D8"/>
    <w:rsid w:val="003F12CA"/>
    <w:rsid w:val="003F179A"/>
    <w:rsid w:val="003F374A"/>
    <w:rsid w:val="0040261D"/>
    <w:rsid w:val="00405426"/>
    <w:rsid w:val="004154EC"/>
    <w:rsid w:val="00422D12"/>
    <w:rsid w:val="00423629"/>
    <w:rsid w:val="0042496A"/>
    <w:rsid w:val="0042748A"/>
    <w:rsid w:val="00432C10"/>
    <w:rsid w:val="00436018"/>
    <w:rsid w:val="00437494"/>
    <w:rsid w:val="004529D1"/>
    <w:rsid w:val="00456B75"/>
    <w:rsid w:val="00457AAE"/>
    <w:rsid w:val="0046277A"/>
    <w:rsid w:val="00463D38"/>
    <w:rsid w:val="00470C0A"/>
    <w:rsid w:val="00474D9B"/>
    <w:rsid w:val="00476789"/>
    <w:rsid w:val="00477B69"/>
    <w:rsid w:val="004977EB"/>
    <w:rsid w:val="004A7467"/>
    <w:rsid w:val="004C6629"/>
    <w:rsid w:val="004D17C7"/>
    <w:rsid w:val="004D289A"/>
    <w:rsid w:val="004E2656"/>
    <w:rsid w:val="004E3EFB"/>
    <w:rsid w:val="004E5D3E"/>
    <w:rsid w:val="004E6F1A"/>
    <w:rsid w:val="004E7507"/>
    <w:rsid w:val="004F0991"/>
    <w:rsid w:val="004F5071"/>
    <w:rsid w:val="004F5589"/>
    <w:rsid w:val="005022EB"/>
    <w:rsid w:val="00504474"/>
    <w:rsid w:val="00510394"/>
    <w:rsid w:val="00513F33"/>
    <w:rsid w:val="00517B09"/>
    <w:rsid w:val="00524008"/>
    <w:rsid w:val="00533ECF"/>
    <w:rsid w:val="00536388"/>
    <w:rsid w:val="0054176E"/>
    <w:rsid w:val="005534A1"/>
    <w:rsid w:val="0055701E"/>
    <w:rsid w:val="00560AE8"/>
    <w:rsid w:val="005633B6"/>
    <w:rsid w:val="00565A04"/>
    <w:rsid w:val="00567EA9"/>
    <w:rsid w:val="00575E2F"/>
    <w:rsid w:val="00577956"/>
    <w:rsid w:val="00583BB7"/>
    <w:rsid w:val="005951DA"/>
    <w:rsid w:val="005953F0"/>
    <w:rsid w:val="00595D0C"/>
    <w:rsid w:val="005A1E76"/>
    <w:rsid w:val="005A4662"/>
    <w:rsid w:val="005B089C"/>
    <w:rsid w:val="005B4587"/>
    <w:rsid w:val="005B6507"/>
    <w:rsid w:val="005C0EEE"/>
    <w:rsid w:val="005C1499"/>
    <w:rsid w:val="005D003F"/>
    <w:rsid w:val="005D2D49"/>
    <w:rsid w:val="005D3337"/>
    <w:rsid w:val="005D5E31"/>
    <w:rsid w:val="005E18C3"/>
    <w:rsid w:val="005E1A52"/>
    <w:rsid w:val="005F12A2"/>
    <w:rsid w:val="005F3305"/>
    <w:rsid w:val="005F446C"/>
    <w:rsid w:val="00600F3C"/>
    <w:rsid w:val="00605492"/>
    <w:rsid w:val="00607AF4"/>
    <w:rsid w:val="0061169A"/>
    <w:rsid w:val="0061504C"/>
    <w:rsid w:val="00622C63"/>
    <w:rsid w:val="00624491"/>
    <w:rsid w:val="0062486A"/>
    <w:rsid w:val="006277C7"/>
    <w:rsid w:val="0063242C"/>
    <w:rsid w:val="00632949"/>
    <w:rsid w:val="006331D6"/>
    <w:rsid w:val="00633E45"/>
    <w:rsid w:val="006347B5"/>
    <w:rsid w:val="0063796C"/>
    <w:rsid w:val="00642B29"/>
    <w:rsid w:val="00643798"/>
    <w:rsid w:val="00644341"/>
    <w:rsid w:val="006455A7"/>
    <w:rsid w:val="006502A7"/>
    <w:rsid w:val="006555C2"/>
    <w:rsid w:val="0067120A"/>
    <w:rsid w:val="006717E3"/>
    <w:rsid w:val="00673140"/>
    <w:rsid w:val="006757A1"/>
    <w:rsid w:val="00680A25"/>
    <w:rsid w:val="00680FC4"/>
    <w:rsid w:val="006853FF"/>
    <w:rsid w:val="00685B44"/>
    <w:rsid w:val="00690C32"/>
    <w:rsid w:val="006947D9"/>
    <w:rsid w:val="00696A8C"/>
    <w:rsid w:val="006A0517"/>
    <w:rsid w:val="006A3FEF"/>
    <w:rsid w:val="006A61DE"/>
    <w:rsid w:val="006A7D5C"/>
    <w:rsid w:val="006B0705"/>
    <w:rsid w:val="006B753F"/>
    <w:rsid w:val="006E2477"/>
    <w:rsid w:val="006E5D9B"/>
    <w:rsid w:val="006F4E2F"/>
    <w:rsid w:val="00700737"/>
    <w:rsid w:val="00702A03"/>
    <w:rsid w:val="007038B7"/>
    <w:rsid w:val="00707C79"/>
    <w:rsid w:val="0071105E"/>
    <w:rsid w:val="00717FCF"/>
    <w:rsid w:val="00720DF8"/>
    <w:rsid w:val="00721E89"/>
    <w:rsid w:val="007336EB"/>
    <w:rsid w:val="0073382B"/>
    <w:rsid w:val="00735E55"/>
    <w:rsid w:val="0074703C"/>
    <w:rsid w:val="00752687"/>
    <w:rsid w:val="00752C61"/>
    <w:rsid w:val="00757AF0"/>
    <w:rsid w:val="00757FE6"/>
    <w:rsid w:val="007606E1"/>
    <w:rsid w:val="007715BA"/>
    <w:rsid w:val="00774663"/>
    <w:rsid w:val="00781F56"/>
    <w:rsid w:val="007905FD"/>
    <w:rsid w:val="00795D4F"/>
    <w:rsid w:val="00796FCB"/>
    <w:rsid w:val="007973B2"/>
    <w:rsid w:val="00797AF2"/>
    <w:rsid w:val="007B40F1"/>
    <w:rsid w:val="007B68EA"/>
    <w:rsid w:val="007C29F6"/>
    <w:rsid w:val="007D0856"/>
    <w:rsid w:val="007E3E7F"/>
    <w:rsid w:val="007F078B"/>
    <w:rsid w:val="007F247C"/>
    <w:rsid w:val="00806233"/>
    <w:rsid w:val="00814071"/>
    <w:rsid w:val="00815538"/>
    <w:rsid w:val="00820F26"/>
    <w:rsid w:val="00823C89"/>
    <w:rsid w:val="00824815"/>
    <w:rsid w:val="00825C31"/>
    <w:rsid w:val="00830DF5"/>
    <w:rsid w:val="00832B87"/>
    <w:rsid w:val="00841E22"/>
    <w:rsid w:val="0084569F"/>
    <w:rsid w:val="0084607E"/>
    <w:rsid w:val="00850D16"/>
    <w:rsid w:val="00851D92"/>
    <w:rsid w:val="00852826"/>
    <w:rsid w:val="00866A8F"/>
    <w:rsid w:val="0086738A"/>
    <w:rsid w:val="00872170"/>
    <w:rsid w:val="0087278F"/>
    <w:rsid w:val="00875B70"/>
    <w:rsid w:val="00884146"/>
    <w:rsid w:val="00891457"/>
    <w:rsid w:val="00891B6B"/>
    <w:rsid w:val="00892675"/>
    <w:rsid w:val="00894079"/>
    <w:rsid w:val="0089640E"/>
    <w:rsid w:val="00897C8C"/>
    <w:rsid w:val="008A188B"/>
    <w:rsid w:val="008A3930"/>
    <w:rsid w:val="008C27B3"/>
    <w:rsid w:val="008C2D62"/>
    <w:rsid w:val="008D532A"/>
    <w:rsid w:val="008D544A"/>
    <w:rsid w:val="008E3763"/>
    <w:rsid w:val="008E6E4B"/>
    <w:rsid w:val="008F0E46"/>
    <w:rsid w:val="008F3129"/>
    <w:rsid w:val="009010F1"/>
    <w:rsid w:val="009038ED"/>
    <w:rsid w:val="00904F95"/>
    <w:rsid w:val="009063B1"/>
    <w:rsid w:val="00910282"/>
    <w:rsid w:val="009102DB"/>
    <w:rsid w:val="00917143"/>
    <w:rsid w:val="00921615"/>
    <w:rsid w:val="00927D58"/>
    <w:rsid w:val="00930ACF"/>
    <w:rsid w:val="009353D7"/>
    <w:rsid w:val="00936EFD"/>
    <w:rsid w:val="00937243"/>
    <w:rsid w:val="0094629C"/>
    <w:rsid w:val="0094682C"/>
    <w:rsid w:val="009516A6"/>
    <w:rsid w:val="00955FCE"/>
    <w:rsid w:val="009579FD"/>
    <w:rsid w:val="00960CF5"/>
    <w:rsid w:val="0097297F"/>
    <w:rsid w:val="00974F27"/>
    <w:rsid w:val="009758C2"/>
    <w:rsid w:val="009820E9"/>
    <w:rsid w:val="0098322A"/>
    <w:rsid w:val="00992D72"/>
    <w:rsid w:val="009B1FE8"/>
    <w:rsid w:val="009B23B0"/>
    <w:rsid w:val="009B51DE"/>
    <w:rsid w:val="009B6B62"/>
    <w:rsid w:val="009B7596"/>
    <w:rsid w:val="009C0139"/>
    <w:rsid w:val="009C23F2"/>
    <w:rsid w:val="009C2E3D"/>
    <w:rsid w:val="009C54EC"/>
    <w:rsid w:val="009D12B2"/>
    <w:rsid w:val="009E21D7"/>
    <w:rsid w:val="009E3F2C"/>
    <w:rsid w:val="009F1F7A"/>
    <w:rsid w:val="009F404C"/>
    <w:rsid w:val="009F7201"/>
    <w:rsid w:val="00A01605"/>
    <w:rsid w:val="00A02274"/>
    <w:rsid w:val="00A23B9E"/>
    <w:rsid w:val="00A24367"/>
    <w:rsid w:val="00A32D50"/>
    <w:rsid w:val="00A40B9A"/>
    <w:rsid w:val="00A41F02"/>
    <w:rsid w:val="00A51BA8"/>
    <w:rsid w:val="00A54987"/>
    <w:rsid w:val="00A64663"/>
    <w:rsid w:val="00A64837"/>
    <w:rsid w:val="00A64D5D"/>
    <w:rsid w:val="00A6555F"/>
    <w:rsid w:val="00A72B35"/>
    <w:rsid w:val="00A8324D"/>
    <w:rsid w:val="00A8409B"/>
    <w:rsid w:val="00A87351"/>
    <w:rsid w:val="00A87D72"/>
    <w:rsid w:val="00A9390F"/>
    <w:rsid w:val="00A939C6"/>
    <w:rsid w:val="00AB1A0C"/>
    <w:rsid w:val="00AB380F"/>
    <w:rsid w:val="00AB4A06"/>
    <w:rsid w:val="00AB5E8C"/>
    <w:rsid w:val="00AC2206"/>
    <w:rsid w:val="00AC2BBA"/>
    <w:rsid w:val="00AC2C4C"/>
    <w:rsid w:val="00AC3023"/>
    <w:rsid w:val="00AC7887"/>
    <w:rsid w:val="00AD01D1"/>
    <w:rsid w:val="00AD0FC0"/>
    <w:rsid w:val="00AD65C2"/>
    <w:rsid w:val="00AE2C44"/>
    <w:rsid w:val="00AE636A"/>
    <w:rsid w:val="00AF4718"/>
    <w:rsid w:val="00AF7C15"/>
    <w:rsid w:val="00B01C0D"/>
    <w:rsid w:val="00B04EB5"/>
    <w:rsid w:val="00B055D6"/>
    <w:rsid w:val="00B07122"/>
    <w:rsid w:val="00B0755D"/>
    <w:rsid w:val="00B07EFB"/>
    <w:rsid w:val="00B07F5F"/>
    <w:rsid w:val="00B115D8"/>
    <w:rsid w:val="00B14560"/>
    <w:rsid w:val="00B22F74"/>
    <w:rsid w:val="00B25FCC"/>
    <w:rsid w:val="00B34237"/>
    <w:rsid w:val="00B37D90"/>
    <w:rsid w:val="00B50663"/>
    <w:rsid w:val="00B5554C"/>
    <w:rsid w:val="00B623A9"/>
    <w:rsid w:val="00B6451F"/>
    <w:rsid w:val="00B647A5"/>
    <w:rsid w:val="00B73C90"/>
    <w:rsid w:val="00B84E2D"/>
    <w:rsid w:val="00B86C76"/>
    <w:rsid w:val="00BA323B"/>
    <w:rsid w:val="00BA3459"/>
    <w:rsid w:val="00BA35F0"/>
    <w:rsid w:val="00BA4CD5"/>
    <w:rsid w:val="00BA6A26"/>
    <w:rsid w:val="00BA6FEF"/>
    <w:rsid w:val="00BB39F8"/>
    <w:rsid w:val="00BB4349"/>
    <w:rsid w:val="00BB54F0"/>
    <w:rsid w:val="00BB5E48"/>
    <w:rsid w:val="00BC02C6"/>
    <w:rsid w:val="00BC1B2C"/>
    <w:rsid w:val="00BC20C6"/>
    <w:rsid w:val="00BC2E81"/>
    <w:rsid w:val="00BC7E9F"/>
    <w:rsid w:val="00BD0D49"/>
    <w:rsid w:val="00BD382F"/>
    <w:rsid w:val="00BD6DA7"/>
    <w:rsid w:val="00BF20CC"/>
    <w:rsid w:val="00BF7AEB"/>
    <w:rsid w:val="00C003A1"/>
    <w:rsid w:val="00C053C2"/>
    <w:rsid w:val="00C06099"/>
    <w:rsid w:val="00C1082A"/>
    <w:rsid w:val="00C21F82"/>
    <w:rsid w:val="00C2287B"/>
    <w:rsid w:val="00C30706"/>
    <w:rsid w:val="00C33F08"/>
    <w:rsid w:val="00C4198C"/>
    <w:rsid w:val="00C421A4"/>
    <w:rsid w:val="00C42C9F"/>
    <w:rsid w:val="00C4558B"/>
    <w:rsid w:val="00C53FF8"/>
    <w:rsid w:val="00C623D7"/>
    <w:rsid w:val="00C6434C"/>
    <w:rsid w:val="00C6503B"/>
    <w:rsid w:val="00C66141"/>
    <w:rsid w:val="00C753F2"/>
    <w:rsid w:val="00C81F2C"/>
    <w:rsid w:val="00C86A05"/>
    <w:rsid w:val="00C92EB8"/>
    <w:rsid w:val="00CA0D6E"/>
    <w:rsid w:val="00CA169F"/>
    <w:rsid w:val="00CA1BF4"/>
    <w:rsid w:val="00CA3238"/>
    <w:rsid w:val="00CA4B6D"/>
    <w:rsid w:val="00CA7949"/>
    <w:rsid w:val="00CB691C"/>
    <w:rsid w:val="00CD309E"/>
    <w:rsid w:val="00CD5508"/>
    <w:rsid w:val="00CD7AB5"/>
    <w:rsid w:val="00CD7BA9"/>
    <w:rsid w:val="00CE6E7F"/>
    <w:rsid w:val="00CF0693"/>
    <w:rsid w:val="00CF648A"/>
    <w:rsid w:val="00CF6CFB"/>
    <w:rsid w:val="00CF7B44"/>
    <w:rsid w:val="00D010AD"/>
    <w:rsid w:val="00D02B8E"/>
    <w:rsid w:val="00D04113"/>
    <w:rsid w:val="00D046B6"/>
    <w:rsid w:val="00D04A27"/>
    <w:rsid w:val="00D20679"/>
    <w:rsid w:val="00D21768"/>
    <w:rsid w:val="00D25014"/>
    <w:rsid w:val="00D26750"/>
    <w:rsid w:val="00D34B44"/>
    <w:rsid w:val="00D34C82"/>
    <w:rsid w:val="00D35C43"/>
    <w:rsid w:val="00D37885"/>
    <w:rsid w:val="00D40734"/>
    <w:rsid w:val="00D435B2"/>
    <w:rsid w:val="00D46F68"/>
    <w:rsid w:val="00D5138E"/>
    <w:rsid w:val="00D56C2A"/>
    <w:rsid w:val="00D640AA"/>
    <w:rsid w:val="00D660A3"/>
    <w:rsid w:val="00D757D7"/>
    <w:rsid w:val="00D76069"/>
    <w:rsid w:val="00D773A3"/>
    <w:rsid w:val="00D80E42"/>
    <w:rsid w:val="00D86ACE"/>
    <w:rsid w:val="00D877D7"/>
    <w:rsid w:val="00D87979"/>
    <w:rsid w:val="00D92D6E"/>
    <w:rsid w:val="00D94425"/>
    <w:rsid w:val="00DB35F9"/>
    <w:rsid w:val="00DB3EEB"/>
    <w:rsid w:val="00DB4D7D"/>
    <w:rsid w:val="00DB50D8"/>
    <w:rsid w:val="00DC0976"/>
    <w:rsid w:val="00DC0EF5"/>
    <w:rsid w:val="00DD79A3"/>
    <w:rsid w:val="00DE14D6"/>
    <w:rsid w:val="00DE351B"/>
    <w:rsid w:val="00DF1A08"/>
    <w:rsid w:val="00DF73B6"/>
    <w:rsid w:val="00E027F1"/>
    <w:rsid w:val="00E11E65"/>
    <w:rsid w:val="00E138D8"/>
    <w:rsid w:val="00E156F9"/>
    <w:rsid w:val="00E20DF1"/>
    <w:rsid w:val="00E21C88"/>
    <w:rsid w:val="00E25604"/>
    <w:rsid w:val="00E43156"/>
    <w:rsid w:val="00E45E4E"/>
    <w:rsid w:val="00E51799"/>
    <w:rsid w:val="00E60611"/>
    <w:rsid w:val="00E61AB1"/>
    <w:rsid w:val="00E64F92"/>
    <w:rsid w:val="00E90E78"/>
    <w:rsid w:val="00E9273B"/>
    <w:rsid w:val="00E9285A"/>
    <w:rsid w:val="00EA292B"/>
    <w:rsid w:val="00EB2941"/>
    <w:rsid w:val="00EB7928"/>
    <w:rsid w:val="00ED3E1E"/>
    <w:rsid w:val="00ED61A8"/>
    <w:rsid w:val="00EE3554"/>
    <w:rsid w:val="00EE5649"/>
    <w:rsid w:val="00EF0B23"/>
    <w:rsid w:val="00EF12DF"/>
    <w:rsid w:val="00EF7A41"/>
    <w:rsid w:val="00F077CA"/>
    <w:rsid w:val="00F1236A"/>
    <w:rsid w:val="00F129F5"/>
    <w:rsid w:val="00F155D1"/>
    <w:rsid w:val="00F179F1"/>
    <w:rsid w:val="00F24446"/>
    <w:rsid w:val="00F24A04"/>
    <w:rsid w:val="00F25968"/>
    <w:rsid w:val="00F3457F"/>
    <w:rsid w:val="00F46241"/>
    <w:rsid w:val="00F50A5A"/>
    <w:rsid w:val="00F535B2"/>
    <w:rsid w:val="00F73609"/>
    <w:rsid w:val="00F74016"/>
    <w:rsid w:val="00F77012"/>
    <w:rsid w:val="00F926F0"/>
    <w:rsid w:val="00F92E49"/>
    <w:rsid w:val="00F96663"/>
    <w:rsid w:val="00FA09B9"/>
    <w:rsid w:val="00FA265A"/>
    <w:rsid w:val="00FA5068"/>
    <w:rsid w:val="00FA5FFF"/>
    <w:rsid w:val="00FB467E"/>
    <w:rsid w:val="00FB4A3C"/>
    <w:rsid w:val="00FC0F66"/>
    <w:rsid w:val="00FC55AB"/>
    <w:rsid w:val="00FC6C3B"/>
    <w:rsid w:val="00FD3C48"/>
    <w:rsid w:val="00FD51F4"/>
    <w:rsid w:val="00FE1D3E"/>
    <w:rsid w:val="00FE3BF6"/>
    <w:rsid w:val="00FF51A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7" fillcolor="none [3207]" strokecolor="none [3041]">
      <v:fill color="none [3207]"/>
      <v:stroke color="none [3041]" weight="3pt"/>
      <v:shadow on="t" type="perspective" color="none [1607]" opacity=".5" offset="1pt" offset2="-1pt"/>
    </o:shapedefaults>
    <o:shapelayout v:ext="edit">
      <o:idmap v:ext="edit" data="1"/>
      <o:rules v:ext="edit">
        <o:r id="V:Rule4" type="connector" idref="#AutoShape 29"/>
        <o:r id="V:Rule5" type="connector" idref="#AutoShape 30"/>
        <o:r id="V:Rule6" type="connector" idref="#AutoShape 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404C"/>
  </w:style>
  <w:style w:type="paragraph" w:styleId="Heading1">
    <w:name w:val="heading 1"/>
    <w:next w:val="BodyParagraph"/>
    <w:link w:val="Heading1Char"/>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iPriority w:val="9"/>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uiPriority w:val="9"/>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uiPriority w:val="9"/>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hAnsi="Verdana" w:cs="Arial"/>
      <w:noProof/>
      <w:sz w:val="18"/>
      <w:szCs w:val="24"/>
    </w:rPr>
  </w:style>
  <w:style w:type="paragraph" w:customStyle="1" w:styleId="BodyParagraph">
    <w:name w:val="Body Paragraph"/>
    <w:link w:val="BodyParagraphChar"/>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B14560"/>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semiHidden/>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42748A"/>
    <w:pPr>
      <w:keepNext/>
      <w:numPr>
        <w:ilvl w:val="1"/>
        <w:numId w:val="2"/>
      </w:numPr>
      <w:spacing w:after="12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locked/>
    <w:rsid w:val="00B14560"/>
    <w:rPr>
      <w:rFonts w:ascii="Verdana" w:hAnsi="Verdana"/>
      <w:sz w:val="18"/>
    </w:rPr>
  </w:style>
  <w:style w:type="character" w:styleId="CommentReference">
    <w:name w:val="annotation reference"/>
    <w:basedOn w:val="DefaultParagraphFont"/>
    <w:uiPriority w:val="99"/>
    <w:semiHidden/>
    <w:rsid w:val="00B5554C"/>
    <w:rPr>
      <w:sz w:val="16"/>
      <w:szCs w:val="16"/>
    </w:rPr>
  </w:style>
  <w:style w:type="paragraph" w:styleId="CommentText">
    <w:name w:val="annotation text"/>
    <w:basedOn w:val="Normal"/>
    <w:link w:val="CommentTextChar"/>
    <w:uiPriority w:val="99"/>
    <w:semiHidden/>
    <w:rsid w:val="00B5554C"/>
    <w:pPr>
      <w:spacing w:before="240" w:after="240" w:line="240" w:lineRule="auto"/>
    </w:pPr>
    <w:rPr>
      <w:rFonts w:ascii="Arial" w:eastAsia="Times New Roman" w:hAnsi="Arial" w:cs="Times New Roman"/>
      <w:spacing w:val="-2"/>
      <w:sz w:val="20"/>
      <w:szCs w:val="20"/>
    </w:rPr>
  </w:style>
  <w:style w:type="character" w:customStyle="1" w:styleId="CommentTextChar">
    <w:name w:val="Comment Text Char"/>
    <w:basedOn w:val="DefaultParagraphFont"/>
    <w:link w:val="CommentText"/>
    <w:uiPriority w:val="99"/>
    <w:semiHidden/>
    <w:rsid w:val="00B5554C"/>
    <w:rPr>
      <w:rFonts w:ascii="Arial" w:eastAsia="Times New Roman" w:hAnsi="Arial" w:cs="Times New Roman"/>
      <w:spacing w:val="-2"/>
      <w:sz w:val="20"/>
      <w:szCs w:val="20"/>
    </w:rPr>
  </w:style>
  <w:style w:type="paragraph" w:styleId="CommentSubject">
    <w:name w:val="annotation subject"/>
    <w:basedOn w:val="CommentText"/>
    <w:next w:val="CommentText"/>
    <w:link w:val="CommentSubjectChar"/>
    <w:uiPriority w:val="99"/>
    <w:semiHidden/>
    <w:unhideWhenUsed/>
    <w:rsid w:val="00AB4A06"/>
    <w:pPr>
      <w:spacing w:before="0" w:after="200"/>
    </w:pPr>
    <w:rPr>
      <w:rFonts w:asciiTheme="minorHAnsi" w:eastAsiaTheme="minorHAnsi" w:hAnsiTheme="minorHAnsi" w:cstheme="minorBidi"/>
      <w:b/>
      <w:bCs/>
      <w:spacing w:val="0"/>
    </w:rPr>
  </w:style>
  <w:style w:type="character" w:customStyle="1" w:styleId="CommentSubjectChar">
    <w:name w:val="Comment Subject Char"/>
    <w:basedOn w:val="CommentTextChar"/>
    <w:link w:val="CommentSubject"/>
    <w:uiPriority w:val="99"/>
    <w:semiHidden/>
    <w:rsid w:val="00AB4A06"/>
    <w:rPr>
      <w:rFonts w:ascii="Arial" w:eastAsia="Times New Roman" w:hAnsi="Arial" w:cs="Times New Roman"/>
      <w:b/>
      <w:bCs/>
      <w:spacing w:val="-2"/>
      <w:sz w:val="20"/>
      <w:szCs w:val="20"/>
    </w:rPr>
  </w:style>
  <w:style w:type="paragraph" w:styleId="Revision">
    <w:name w:val="Revision"/>
    <w:hidden/>
    <w:uiPriority w:val="99"/>
    <w:semiHidden/>
    <w:rsid w:val="00AB4A06"/>
    <w:pPr>
      <w:spacing w:after="0" w:line="240" w:lineRule="auto"/>
    </w:pPr>
  </w:style>
  <w:style w:type="paragraph" w:styleId="BodyText">
    <w:name w:val="Body Text"/>
    <w:basedOn w:val="Normal"/>
    <w:link w:val="BodyTextChar"/>
    <w:uiPriority w:val="99"/>
    <w:semiHidden/>
    <w:unhideWhenUsed/>
    <w:rsid w:val="00314B85"/>
    <w:pPr>
      <w:spacing w:after="120"/>
    </w:pPr>
  </w:style>
  <w:style w:type="character" w:customStyle="1" w:styleId="BodyTextChar">
    <w:name w:val="Body Text Char"/>
    <w:basedOn w:val="DefaultParagraphFont"/>
    <w:link w:val="BodyText"/>
    <w:uiPriority w:val="99"/>
    <w:semiHidden/>
    <w:rsid w:val="00314B85"/>
  </w:style>
  <w:style w:type="paragraph" w:styleId="EndnoteText">
    <w:name w:val="endnote text"/>
    <w:basedOn w:val="Normal"/>
    <w:link w:val="EndnoteTextChar"/>
    <w:uiPriority w:val="99"/>
    <w:semiHidden/>
    <w:unhideWhenUsed/>
    <w:rsid w:val="0091714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17143"/>
    <w:rPr>
      <w:sz w:val="20"/>
      <w:szCs w:val="20"/>
    </w:rPr>
  </w:style>
  <w:style w:type="character" w:styleId="EndnoteReference">
    <w:name w:val="endnote reference"/>
    <w:basedOn w:val="DefaultParagraphFont"/>
    <w:uiPriority w:val="99"/>
    <w:semiHidden/>
    <w:unhideWhenUsed/>
    <w:rsid w:val="00917143"/>
    <w:rPr>
      <w:vertAlign w:val="superscript"/>
    </w:rPr>
  </w:style>
  <w:style w:type="paragraph" w:styleId="PlainText">
    <w:name w:val="Plain Text"/>
    <w:basedOn w:val="Normal"/>
    <w:link w:val="PlainTextChar"/>
    <w:uiPriority w:val="99"/>
    <w:semiHidden/>
    <w:unhideWhenUsed/>
    <w:rsid w:val="00917143"/>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917143"/>
    <w:rPr>
      <w:rFonts w:ascii="Consolas" w:hAnsi="Consolas" w:cs="Consolas"/>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next w:val="BodyParagraph"/>
    <w:link w:val="Heading1Char"/>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iPriority w:val="9"/>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uiPriority w:val="9"/>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uiPriority w:val="9"/>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hAnsi="Verdana" w:cs="Arial"/>
      <w:noProof/>
      <w:sz w:val="18"/>
      <w:szCs w:val="24"/>
    </w:rPr>
  </w:style>
  <w:style w:type="paragraph" w:customStyle="1" w:styleId="BodyParagraph">
    <w:name w:val="Body Paragraph"/>
    <w:link w:val="BodyParagraphChar"/>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B14560"/>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semiHidden/>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42748A"/>
    <w:pPr>
      <w:keepNext/>
      <w:numPr>
        <w:ilvl w:val="1"/>
        <w:numId w:val="2"/>
      </w:numPr>
      <w:spacing w:after="12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locked/>
    <w:rsid w:val="00B14560"/>
    <w:rPr>
      <w:rFonts w:ascii="Verdana" w:hAnsi="Verdana"/>
      <w:sz w:val="18"/>
    </w:rPr>
  </w:style>
  <w:style w:type="character" w:styleId="CommentReference">
    <w:name w:val="annotation reference"/>
    <w:basedOn w:val="DefaultParagraphFont"/>
    <w:uiPriority w:val="99"/>
    <w:semiHidden/>
    <w:rsid w:val="00B5554C"/>
    <w:rPr>
      <w:sz w:val="16"/>
      <w:szCs w:val="16"/>
    </w:rPr>
  </w:style>
  <w:style w:type="paragraph" w:styleId="CommentText">
    <w:name w:val="annotation text"/>
    <w:basedOn w:val="Normal"/>
    <w:link w:val="CommentTextChar"/>
    <w:uiPriority w:val="99"/>
    <w:semiHidden/>
    <w:rsid w:val="00B5554C"/>
    <w:pPr>
      <w:spacing w:before="240" w:after="240" w:line="240" w:lineRule="auto"/>
    </w:pPr>
    <w:rPr>
      <w:rFonts w:ascii="Arial" w:eastAsia="Times New Roman" w:hAnsi="Arial" w:cs="Times New Roman"/>
      <w:spacing w:val="-2"/>
      <w:sz w:val="20"/>
      <w:szCs w:val="20"/>
    </w:rPr>
  </w:style>
  <w:style w:type="character" w:customStyle="1" w:styleId="CommentTextChar">
    <w:name w:val="Comment Text Char"/>
    <w:basedOn w:val="DefaultParagraphFont"/>
    <w:link w:val="CommentText"/>
    <w:uiPriority w:val="99"/>
    <w:semiHidden/>
    <w:rsid w:val="00B5554C"/>
    <w:rPr>
      <w:rFonts w:ascii="Arial" w:eastAsia="Times New Roman" w:hAnsi="Arial" w:cs="Times New Roman"/>
      <w:spacing w:val="-2"/>
      <w:sz w:val="20"/>
      <w:szCs w:val="20"/>
    </w:rPr>
  </w:style>
  <w:style w:type="paragraph" w:styleId="CommentSubject">
    <w:name w:val="annotation subject"/>
    <w:basedOn w:val="CommentText"/>
    <w:next w:val="CommentText"/>
    <w:link w:val="CommentSubjectChar"/>
    <w:uiPriority w:val="99"/>
    <w:semiHidden/>
    <w:unhideWhenUsed/>
    <w:rsid w:val="00AB4A06"/>
    <w:pPr>
      <w:spacing w:before="0" w:after="200"/>
    </w:pPr>
    <w:rPr>
      <w:rFonts w:asciiTheme="minorHAnsi" w:eastAsiaTheme="minorHAnsi" w:hAnsiTheme="minorHAnsi" w:cstheme="minorBidi"/>
      <w:b/>
      <w:bCs/>
      <w:spacing w:val="0"/>
    </w:rPr>
  </w:style>
  <w:style w:type="character" w:customStyle="1" w:styleId="CommentSubjectChar">
    <w:name w:val="Comment Subject Char"/>
    <w:basedOn w:val="CommentTextChar"/>
    <w:link w:val="CommentSubject"/>
    <w:uiPriority w:val="99"/>
    <w:semiHidden/>
    <w:rsid w:val="00AB4A06"/>
    <w:rPr>
      <w:rFonts w:ascii="Arial" w:eastAsia="Times New Roman" w:hAnsi="Arial" w:cs="Times New Roman"/>
      <w:b/>
      <w:bCs/>
      <w:spacing w:val="-2"/>
      <w:sz w:val="20"/>
      <w:szCs w:val="20"/>
    </w:rPr>
  </w:style>
  <w:style w:type="paragraph" w:styleId="Revision">
    <w:name w:val="Revision"/>
    <w:hidden/>
    <w:uiPriority w:val="99"/>
    <w:semiHidden/>
    <w:rsid w:val="00AB4A06"/>
    <w:pPr>
      <w:spacing w:after="0" w:line="240" w:lineRule="auto"/>
    </w:pPr>
  </w:style>
  <w:style w:type="paragraph" w:styleId="BodyText">
    <w:name w:val="Body Text"/>
    <w:basedOn w:val="Normal"/>
    <w:link w:val="BodyTextChar"/>
    <w:uiPriority w:val="99"/>
    <w:semiHidden/>
    <w:unhideWhenUsed/>
    <w:rsid w:val="00314B85"/>
    <w:pPr>
      <w:spacing w:after="120"/>
    </w:pPr>
  </w:style>
  <w:style w:type="character" w:customStyle="1" w:styleId="BodyTextChar">
    <w:name w:val="Body Text Char"/>
    <w:basedOn w:val="DefaultParagraphFont"/>
    <w:link w:val="BodyText"/>
    <w:uiPriority w:val="99"/>
    <w:semiHidden/>
    <w:rsid w:val="00314B85"/>
  </w:style>
  <w:style w:type="paragraph" w:styleId="EndnoteText">
    <w:name w:val="endnote text"/>
    <w:basedOn w:val="Normal"/>
    <w:link w:val="EndnoteTextChar"/>
    <w:uiPriority w:val="99"/>
    <w:semiHidden/>
    <w:unhideWhenUsed/>
    <w:rsid w:val="0091714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17143"/>
    <w:rPr>
      <w:sz w:val="20"/>
      <w:szCs w:val="20"/>
    </w:rPr>
  </w:style>
  <w:style w:type="character" w:styleId="EndnoteReference">
    <w:name w:val="endnote reference"/>
    <w:basedOn w:val="DefaultParagraphFont"/>
    <w:uiPriority w:val="99"/>
    <w:semiHidden/>
    <w:unhideWhenUsed/>
    <w:rsid w:val="00917143"/>
    <w:rPr>
      <w:vertAlign w:val="superscript"/>
    </w:rPr>
  </w:style>
  <w:style w:type="paragraph" w:styleId="PlainText">
    <w:name w:val="Plain Text"/>
    <w:basedOn w:val="Normal"/>
    <w:link w:val="PlainTextChar"/>
    <w:uiPriority w:val="99"/>
    <w:semiHidden/>
    <w:unhideWhenUsed/>
    <w:rsid w:val="00917143"/>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917143"/>
    <w:rPr>
      <w:rFonts w:ascii="Consolas" w:hAnsi="Consolas" w:cs="Consolas"/>
      <w:sz w:val="21"/>
      <w:szCs w:val="21"/>
    </w:rPr>
  </w:style>
</w:styles>
</file>

<file path=word/webSettings.xml><?xml version="1.0" encoding="utf-8"?>
<w:webSettings xmlns:r="http://schemas.openxmlformats.org/officeDocument/2006/relationships" xmlns:w="http://schemas.openxmlformats.org/wordprocessingml/2006/main">
  <w:divs>
    <w:div w:id="394014033">
      <w:bodyDiv w:val="1"/>
      <w:marLeft w:val="0"/>
      <w:marRight w:val="0"/>
      <w:marTop w:val="0"/>
      <w:marBottom w:val="0"/>
      <w:divBdr>
        <w:top w:val="none" w:sz="0" w:space="0" w:color="auto"/>
        <w:left w:val="none" w:sz="0" w:space="0" w:color="auto"/>
        <w:bottom w:val="none" w:sz="0" w:space="0" w:color="auto"/>
        <w:right w:val="none" w:sz="0" w:space="0" w:color="auto"/>
      </w:divBdr>
    </w:div>
    <w:div w:id="575630827">
      <w:bodyDiv w:val="1"/>
      <w:marLeft w:val="0"/>
      <w:marRight w:val="0"/>
      <w:marTop w:val="0"/>
      <w:marBottom w:val="0"/>
      <w:divBdr>
        <w:top w:val="none" w:sz="0" w:space="0" w:color="auto"/>
        <w:left w:val="none" w:sz="0" w:space="0" w:color="auto"/>
        <w:bottom w:val="none" w:sz="0" w:space="0" w:color="auto"/>
        <w:right w:val="none" w:sz="0" w:space="0" w:color="auto"/>
      </w:divBdr>
    </w:div>
    <w:div w:id="662468916">
      <w:bodyDiv w:val="1"/>
      <w:marLeft w:val="0"/>
      <w:marRight w:val="0"/>
      <w:marTop w:val="0"/>
      <w:marBottom w:val="0"/>
      <w:divBdr>
        <w:top w:val="none" w:sz="0" w:space="0" w:color="auto"/>
        <w:left w:val="none" w:sz="0" w:space="0" w:color="auto"/>
        <w:bottom w:val="none" w:sz="0" w:space="0" w:color="auto"/>
        <w:right w:val="none" w:sz="0" w:space="0" w:color="auto"/>
      </w:divBdr>
    </w:div>
    <w:div w:id="749619210">
      <w:bodyDiv w:val="1"/>
      <w:marLeft w:val="0"/>
      <w:marRight w:val="0"/>
      <w:marTop w:val="0"/>
      <w:marBottom w:val="0"/>
      <w:divBdr>
        <w:top w:val="none" w:sz="0" w:space="0" w:color="auto"/>
        <w:left w:val="none" w:sz="0" w:space="0" w:color="auto"/>
        <w:bottom w:val="none" w:sz="0" w:space="0" w:color="auto"/>
        <w:right w:val="none" w:sz="0" w:space="0" w:color="auto"/>
      </w:divBdr>
    </w:div>
    <w:div w:id="826283090">
      <w:bodyDiv w:val="1"/>
      <w:marLeft w:val="0"/>
      <w:marRight w:val="0"/>
      <w:marTop w:val="0"/>
      <w:marBottom w:val="0"/>
      <w:divBdr>
        <w:top w:val="none" w:sz="0" w:space="0" w:color="auto"/>
        <w:left w:val="none" w:sz="0" w:space="0" w:color="auto"/>
        <w:bottom w:val="none" w:sz="0" w:space="0" w:color="auto"/>
        <w:right w:val="none" w:sz="0" w:space="0" w:color="auto"/>
      </w:divBdr>
    </w:div>
    <w:div w:id="899363470">
      <w:bodyDiv w:val="1"/>
      <w:marLeft w:val="0"/>
      <w:marRight w:val="0"/>
      <w:marTop w:val="0"/>
      <w:marBottom w:val="0"/>
      <w:divBdr>
        <w:top w:val="none" w:sz="0" w:space="0" w:color="auto"/>
        <w:left w:val="none" w:sz="0" w:space="0" w:color="auto"/>
        <w:bottom w:val="none" w:sz="0" w:space="0" w:color="auto"/>
        <w:right w:val="none" w:sz="0" w:space="0" w:color="auto"/>
      </w:divBdr>
    </w:div>
    <w:div w:id="946279486">
      <w:bodyDiv w:val="1"/>
      <w:marLeft w:val="0"/>
      <w:marRight w:val="0"/>
      <w:marTop w:val="0"/>
      <w:marBottom w:val="0"/>
      <w:divBdr>
        <w:top w:val="none" w:sz="0" w:space="0" w:color="auto"/>
        <w:left w:val="none" w:sz="0" w:space="0" w:color="auto"/>
        <w:bottom w:val="none" w:sz="0" w:space="0" w:color="auto"/>
        <w:right w:val="none" w:sz="0" w:space="0" w:color="auto"/>
      </w:divBdr>
    </w:div>
    <w:div w:id="1013535818">
      <w:bodyDiv w:val="1"/>
      <w:marLeft w:val="0"/>
      <w:marRight w:val="0"/>
      <w:marTop w:val="0"/>
      <w:marBottom w:val="0"/>
      <w:divBdr>
        <w:top w:val="none" w:sz="0" w:space="0" w:color="auto"/>
        <w:left w:val="none" w:sz="0" w:space="0" w:color="auto"/>
        <w:bottom w:val="none" w:sz="0" w:space="0" w:color="auto"/>
        <w:right w:val="none" w:sz="0" w:space="0" w:color="auto"/>
      </w:divBdr>
    </w:div>
    <w:div w:id="1029457329">
      <w:bodyDiv w:val="1"/>
      <w:marLeft w:val="0"/>
      <w:marRight w:val="0"/>
      <w:marTop w:val="0"/>
      <w:marBottom w:val="0"/>
      <w:divBdr>
        <w:top w:val="none" w:sz="0" w:space="0" w:color="auto"/>
        <w:left w:val="none" w:sz="0" w:space="0" w:color="auto"/>
        <w:bottom w:val="none" w:sz="0" w:space="0" w:color="auto"/>
        <w:right w:val="none" w:sz="0" w:space="0" w:color="auto"/>
      </w:divBdr>
    </w:div>
    <w:div w:id="1162772444">
      <w:bodyDiv w:val="1"/>
      <w:marLeft w:val="0"/>
      <w:marRight w:val="0"/>
      <w:marTop w:val="0"/>
      <w:marBottom w:val="0"/>
      <w:divBdr>
        <w:top w:val="none" w:sz="0" w:space="0" w:color="auto"/>
        <w:left w:val="none" w:sz="0" w:space="0" w:color="auto"/>
        <w:bottom w:val="none" w:sz="0" w:space="0" w:color="auto"/>
        <w:right w:val="none" w:sz="0" w:space="0" w:color="auto"/>
      </w:divBdr>
    </w:div>
    <w:div w:id="1164512610">
      <w:bodyDiv w:val="1"/>
      <w:marLeft w:val="0"/>
      <w:marRight w:val="0"/>
      <w:marTop w:val="0"/>
      <w:marBottom w:val="0"/>
      <w:divBdr>
        <w:top w:val="none" w:sz="0" w:space="0" w:color="auto"/>
        <w:left w:val="none" w:sz="0" w:space="0" w:color="auto"/>
        <w:bottom w:val="none" w:sz="0" w:space="0" w:color="auto"/>
        <w:right w:val="none" w:sz="0" w:space="0" w:color="auto"/>
      </w:divBdr>
    </w:div>
    <w:div w:id="1175147269">
      <w:bodyDiv w:val="1"/>
      <w:marLeft w:val="0"/>
      <w:marRight w:val="0"/>
      <w:marTop w:val="0"/>
      <w:marBottom w:val="0"/>
      <w:divBdr>
        <w:top w:val="none" w:sz="0" w:space="0" w:color="auto"/>
        <w:left w:val="none" w:sz="0" w:space="0" w:color="auto"/>
        <w:bottom w:val="none" w:sz="0" w:space="0" w:color="auto"/>
        <w:right w:val="none" w:sz="0" w:space="0" w:color="auto"/>
      </w:divBdr>
    </w:div>
    <w:div w:id="1314945321">
      <w:bodyDiv w:val="1"/>
      <w:marLeft w:val="0"/>
      <w:marRight w:val="0"/>
      <w:marTop w:val="0"/>
      <w:marBottom w:val="0"/>
      <w:divBdr>
        <w:top w:val="none" w:sz="0" w:space="0" w:color="auto"/>
        <w:left w:val="none" w:sz="0" w:space="0" w:color="auto"/>
        <w:bottom w:val="none" w:sz="0" w:space="0" w:color="auto"/>
        <w:right w:val="none" w:sz="0" w:space="0" w:color="auto"/>
      </w:divBdr>
    </w:div>
    <w:div w:id="1328249172">
      <w:bodyDiv w:val="1"/>
      <w:marLeft w:val="0"/>
      <w:marRight w:val="0"/>
      <w:marTop w:val="0"/>
      <w:marBottom w:val="0"/>
      <w:divBdr>
        <w:top w:val="none" w:sz="0" w:space="0" w:color="auto"/>
        <w:left w:val="none" w:sz="0" w:space="0" w:color="auto"/>
        <w:bottom w:val="none" w:sz="0" w:space="0" w:color="auto"/>
        <w:right w:val="none" w:sz="0" w:space="0" w:color="auto"/>
      </w:divBdr>
    </w:div>
    <w:div w:id="1440177806">
      <w:bodyDiv w:val="1"/>
      <w:marLeft w:val="0"/>
      <w:marRight w:val="0"/>
      <w:marTop w:val="0"/>
      <w:marBottom w:val="0"/>
      <w:divBdr>
        <w:top w:val="none" w:sz="0" w:space="0" w:color="auto"/>
        <w:left w:val="none" w:sz="0" w:space="0" w:color="auto"/>
        <w:bottom w:val="none" w:sz="0" w:space="0" w:color="auto"/>
        <w:right w:val="none" w:sz="0" w:space="0" w:color="auto"/>
      </w:divBdr>
      <w:divsChild>
        <w:div w:id="289626090">
          <w:marLeft w:val="0"/>
          <w:marRight w:val="0"/>
          <w:marTop w:val="0"/>
          <w:marBottom w:val="0"/>
          <w:divBdr>
            <w:top w:val="none" w:sz="0" w:space="0" w:color="auto"/>
            <w:left w:val="none" w:sz="0" w:space="0" w:color="auto"/>
            <w:bottom w:val="none" w:sz="0" w:space="0" w:color="auto"/>
            <w:right w:val="none" w:sz="0" w:space="0" w:color="auto"/>
          </w:divBdr>
          <w:divsChild>
            <w:div w:id="1937900054">
              <w:marLeft w:val="0"/>
              <w:marRight w:val="0"/>
              <w:marTop w:val="112"/>
              <w:marBottom w:val="0"/>
              <w:divBdr>
                <w:top w:val="single" w:sz="8" w:space="6" w:color="666666"/>
                <w:left w:val="none" w:sz="0" w:space="0" w:color="auto"/>
                <w:bottom w:val="none" w:sz="0" w:space="0" w:color="auto"/>
                <w:right w:val="none" w:sz="0" w:space="0" w:color="auto"/>
              </w:divBdr>
            </w:div>
          </w:divsChild>
        </w:div>
      </w:divsChild>
    </w:div>
    <w:div w:id="1488473912">
      <w:bodyDiv w:val="1"/>
      <w:marLeft w:val="0"/>
      <w:marRight w:val="0"/>
      <w:marTop w:val="0"/>
      <w:marBottom w:val="0"/>
      <w:divBdr>
        <w:top w:val="none" w:sz="0" w:space="0" w:color="auto"/>
        <w:left w:val="none" w:sz="0" w:space="0" w:color="auto"/>
        <w:bottom w:val="none" w:sz="0" w:space="0" w:color="auto"/>
        <w:right w:val="none" w:sz="0" w:space="0" w:color="auto"/>
      </w:divBdr>
    </w:div>
    <w:div w:id="1503736109">
      <w:bodyDiv w:val="1"/>
      <w:marLeft w:val="0"/>
      <w:marRight w:val="0"/>
      <w:marTop w:val="0"/>
      <w:marBottom w:val="0"/>
      <w:divBdr>
        <w:top w:val="none" w:sz="0" w:space="0" w:color="auto"/>
        <w:left w:val="none" w:sz="0" w:space="0" w:color="auto"/>
        <w:bottom w:val="none" w:sz="0" w:space="0" w:color="auto"/>
        <w:right w:val="none" w:sz="0" w:space="0" w:color="auto"/>
      </w:divBdr>
    </w:div>
    <w:div w:id="1590459185">
      <w:bodyDiv w:val="1"/>
      <w:marLeft w:val="0"/>
      <w:marRight w:val="0"/>
      <w:marTop w:val="0"/>
      <w:marBottom w:val="0"/>
      <w:divBdr>
        <w:top w:val="none" w:sz="0" w:space="0" w:color="auto"/>
        <w:left w:val="none" w:sz="0" w:space="0" w:color="auto"/>
        <w:bottom w:val="none" w:sz="0" w:space="0" w:color="auto"/>
        <w:right w:val="none" w:sz="0" w:space="0" w:color="auto"/>
      </w:divBdr>
    </w:div>
    <w:div w:id="1601526422">
      <w:bodyDiv w:val="1"/>
      <w:marLeft w:val="0"/>
      <w:marRight w:val="0"/>
      <w:marTop w:val="0"/>
      <w:marBottom w:val="0"/>
      <w:divBdr>
        <w:top w:val="none" w:sz="0" w:space="0" w:color="auto"/>
        <w:left w:val="none" w:sz="0" w:space="0" w:color="auto"/>
        <w:bottom w:val="none" w:sz="0" w:space="0" w:color="auto"/>
        <w:right w:val="none" w:sz="0" w:space="0" w:color="auto"/>
      </w:divBdr>
    </w:div>
    <w:div w:id="1688558102">
      <w:bodyDiv w:val="1"/>
      <w:marLeft w:val="0"/>
      <w:marRight w:val="0"/>
      <w:marTop w:val="0"/>
      <w:marBottom w:val="0"/>
      <w:divBdr>
        <w:top w:val="none" w:sz="0" w:space="0" w:color="auto"/>
        <w:left w:val="none" w:sz="0" w:space="0" w:color="auto"/>
        <w:bottom w:val="none" w:sz="0" w:space="0" w:color="auto"/>
        <w:right w:val="none" w:sz="0" w:space="0" w:color="auto"/>
      </w:divBdr>
    </w:div>
    <w:div w:id="1719623527">
      <w:bodyDiv w:val="1"/>
      <w:marLeft w:val="0"/>
      <w:marRight w:val="0"/>
      <w:marTop w:val="0"/>
      <w:marBottom w:val="0"/>
      <w:divBdr>
        <w:top w:val="none" w:sz="0" w:space="0" w:color="auto"/>
        <w:left w:val="none" w:sz="0" w:space="0" w:color="auto"/>
        <w:bottom w:val="none" w:sz="0" w:space="0" w:color="auto"/>
        <w:right w:val="none" w:sz="0" w:space="0" w:color="auto"/>
      </w:divBdr>
    </w:div>
    <w:div w:id="1836457912">
      <w:bodyDiv w:val="1"/>
      <w:marLeft w:val="0"/>
      <w:marRight w:val="0"/>
      <w:marTop w:val="0"/>
      <w:marBottom w:val="0"/>
      <w:divBdr>
        <w:top w:val="none" w:sz="0" w:space="0" w:color="auto"/>
        <w:left w:val="none" w:sz="0" w:space="0" w:color="auto"/>
        <w:bottom w:val="none" w:sz="0" w:space="0" w:color="auto"/>
        <w:right w:val="none" w:sz="0" w:space="0" w:color="auto"/>
      </w:divBdr>
    </w:div>
    <w:div w:id="1905682285">
      <w:bodyDiv w:val="1"/>
      <w:marLeft w:val="0"/>
      <w:marRight w:val="0"/>
      <w:marTop w:val="0"/>
      <w:marBottom w:val="0"/>
      <w:divBdr>
        <w:top w:val="none" w:sz="0" w:space="0" w:color="auto"/>
        <w:left w:val="none" w:sz="0" w:space="0" w:color="auto"/>
        <w:bottom w:val="none" w:sz="0" w:space="0" w:color="auto"/>
        <w:right w:val="none" w:sz="0" w:space="0" w:color="auto"/>
      </w:divBdr>
    </w:div>
    <w:div w:id="1968389357">
      <w:bodyDiv w:val="1"/>
      <w:marLeft w:val="0"/>
      <w:marRight w:val="0"/>
      <w:marTop w:val="0"/>
      <w:marBottom w:val="0"/>
      <w:divBdr>
        <w:top w:val="none" w:sz="0" w:space="0" w:color="auto"/>
        <w:left w:val="none" w:sz="0" w:space="0" w:color="auto"/>
        <w:bottom w:val="none" w:sz="0" w:space="0" w:color="auto"/>
        <w:right w:val="none" w:sz="0" w:space="0" w:color="auto"/>
      </w:divBdr>
    </w:div>
    <w:div w:id="1991707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file:///C:\Users\mperry\AppData\Local\Microsoft\Windows\Temporary%20Internet%20Files\Content.MSO\A29810C4.xlsx"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file:///C:\Users\mperry\AppData\Local\Microsoft\Windows\Temporary%20Internet%20Files\Content.MSO\A29810C4.xlsx"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file:///C:\Users\mperry\AppData\Local\Microsoft\Windows\Temporary%20Internet%20Files\Content.MSO\A29810C4.xlsx" TargetMode="External"/><Relationship Id="rId10" Type="http://schemas.openxmlformats.org/officeDocument/2006/relationships/image" Target="media/image3.pn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hyperlink" Target="file:///C:\Users\mperry\AppData\Local\Microsoft\Windows\Temporary%20Internet%20Files\Content.MSO\A29810C4.xlsx" TargetMode="External"/><Relationship Id="rId27"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A7C64-F2ED-4CDA-BC21-60343E439F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6055</Words>
  <Characters>34520</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FSC Group</Company>
  <LinksUpToDate>false</LinksUpToDate>
  <CharactersWithSpaces>40495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Rohde</dc:creator>
  <cp:lastModifiedBy>mperry</cp:lastModifiedBy>
  <cp:revision>3</cp:revision>
  <cp:lastPrinted>2013-03-25T18:45:00Z</cp:lastPrinted>
  <dcterms:created xsi:type="dcterms:W3CDTF">2013-03-28T00:32:00Z</dcterms:created>
  <dcterms:modified xsi:type="dcterms:W3CDTF">2013-03-28T00:33:00Z</dcterms:modified>
</cp:coreProperties>
</file>